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0626" w14:textId="77777777" w:rsidR="004121B0" w:rsidRDefault="00016D35">
      <w:pPr>
        <w:pStyle w:val="Nagwek1"/>
        <w:numPr>
          <w:ilvl w:val="0"/>
          <w:numId w:val="0"/>
        </w:numPr>
        <w:spacing w:after="60"/>
        <w:ind w:left="41"/>
      </w:pPr>
      <w:r>
        <w:t>Stan na dzień sporządzenia prospektu informacyjnego</w:t>
      </w:r>
      <w:r>
        <w:rPr>
          <w:b w:val="0"/>
          <w:sz w:val="14"/>
        </w:rPr>
        <w:t xml:space="preserve"> </w:t>
      </w:r>
    </w:p>
    <w:p w14:paraId="72ECD584" w14:textId="77777777" w:rsidR="004121B0" w:rsidRDefault="00016D35">
      <w:pPr>
        <w:spacing w:after="142"/>
        <w:ind w:left="46"/>
        <w:rPr>
          <w:rFonts w:ascii="Arial" w:eastAsia="Arial" w:hAnsi="Arial" w:cs="Arial"/>
          <w:sz w:val="20"/>
        </w:rPr>
      </w:pPr>
      <w:r>
        <w:rPr>
          <w:rFonts w:ascii="Arial" w:eastAsia="Arial" w:hAnsi="Arial" w:cs="Arial"/>
          <w:sz w:val="20"/>
        </w:rPr>
        <w:t xml:space="preserve"> </w:t>
      </w:r>
    </w:p>
    <w:p w14:paraId="7D60C69A" w14:textId="1FE98F53" w:rsidR="00205CE0" w:rsidRDefault="00205CE0" w:rsidP="00F22635">
      <w:pPr>
        <w:spacing w:after="142"/>
        <w:ind w:left="7786"/>
      </w:pPr>
      <w:r>
        <w:rPr>
          <w:rFonts w:ascii="Arial" w:eastAsia="Arial" w:hAnsi="Arial" w:cs="Arial"/>
          <w:sz w:val="20"/>
        </w:rPr>
        <w:t xml:space="preserve">Data </w:t>
      </w:r>
      <w:r w:rsidR="00F22635">
        <w:rPr>
          <w:rFonts w:ascii="Arial" w:eastAsia="Arial" w:hAnsi="Arial" w:cs="Arial"/>
          <w:sz w:val="20"/>
        </w:rPr>
        <w:br/>
      </w:r>
      <w:r>
        <w:rPr>
          <w:rFonts w:ascii="Arial" w:eastAsia="Arial" w:hAnsi="Arial" w:cs="Arial"/>
          <w:sz w:val="20"/>
        </w:rPr>
        <w:t>sporządzenia</w:t>
      </w:r>
      <w:r>
        <w:rPr>
          <w:rFonts w:ascii="Arial" w:eastAsia="Arial" w:hAnsi="Arial" w:cs="Arial"/>
          <w:sz w:val="20"/>
        </w:rPr>
        <w:br/>
        <w:t>prospektu</w:t>
      </w:r>
      <w:r w:rsidR="005B00D2">
        <w:rPr>
          <w:rFonts w:ascii="Arial" w:eastAsia="Arial" w:hAnsi="Arial" w:cs="Arial"/>
          <w:sz w:val="20"/>
        </w:rPr>
        <w:t>: 03.11.2022</w:t>
      </w:r>
      <w:r>
        <w:rPr>
          <w:rFonts w:ascii="Arial" w:eastAsia="Arial" w:hAnsi="Arial" w:cs="Arial"/>
          <w:sz w:val="20"/>
        </w:rPr>
        <w:t xml:space="preserve"> </w:t>
      </w:r>
    </w:p>
    <w:p w14:paraId="7D52E177" w14:textId="77777777" w:rsidR="00205CE0" w:rsidRDefault="00205CE0">
      <w:pPr>
        <w:spacing w:after="36"/>
        <w:ind w:right="27"/>
        <w:jc w:val="center"/>
        <w:rPr>
          <w:rFonts w:ascii="Arial" w:eastAsia="Arial" w:hAnsi="Arial" w:cs="Arial"/>
          <w:sz w:val="20"/>
        </w:rPr>
      </w:pPr>
    </w:p>
    <w:p w14:paraId="502DFFE7" w14:textId="5127C239" w:rsidR="004121B0" w:rsidRDefault="00016D35">
      <w:pPr>
        <w:spacing w:after="36"/>
        <w:ind w:right="27"/>
        <w:jc w:val="center"/>
      </w:pPr>
      <w:r>
        <w:rPr>
          <w:rFonts w:ascii="Arial" w:eastAsia="Arial" w:hAnsi="Arial" w:cs="Arial"/>
          <w:b/>
          <w:sz w:val="19"/>
        </w:rPr>
        <w:t>PROSPEKT INFORMACYJNY</w:t>
      </w:r>
      <w:r>
        <w:rPr>
          <w:rFonts w:ascii="Arial" w:eastAsia="Arial" w:hAnsi="Arial" w:cs="Arial"/>
          <w:b/>
          <w:color w:val="0078D4"/>
          <w:sz w:val="19"/>
        </w:rPr>
        <w:t xml:space="preserve"> </w:t>
      </w:r>
    </w:p>
    <w:p w14:paraId="0FBF0F00" w14:textId="77777777" w:rsidR="004121B0" w:rsidRDefault="00016D35">
      <w:pPr>
        <w:spacing w:after="119"/>
        <w:ind w:right="28"/>
        <w:jc w:val="center"/>
      </w:pPr>
      <w:r>
        <w:rPr>
          <w:rFonts w:ascii="Arial" w:eastAsia="Arial" w:hAnsi="Arial" w:cs="Arial"/>
          <w:sz w:val="19"/>
        </w:rPr>
        <w:t xml:space="preserve">DLA IV ZADNIA INWESTYCYJNEGO </w:t>
      </w:r>
    </w:p>
    <w:p w14:paraId="2FAF2175" w14:textId="77777777" w:rsidR="004121B0" w:rsidRDefault="00016D35">
      <w:pPr>
        <w:spacing w:after="287"/>
        <w:ind w:left="41" w:hanging="10"/>
      </w:pPr>
      <w:r>
        <w:rPr>
          <w:rFonts w:ascii="Arial" w:eastAsia="Arial" w:hAnsi="Arial" w:cs="Arial"/>
          <w:b/>
          <w:sz w:val="19"/>
        </w:rPr>
        <w:t xml:space="preserve">CZĘŚĆ OGÓLNA </w:t>
      </w:r>
    </w:p>
    <w:p w14:paraId="6CA350A8" w14:textId="77777777" w:rsidR="004121B0" w:rsidRDefault="00016D35">
      <w:pPr>
        <w:pStyle w:val="Nagwek1"/>
        <w:ind w:left="189" w:hanging="158"/>
      </w:pPr>
      <w:r>
        <w:rPr>
          <w:noProof/>
        </w:rPr>
        <mc:AlternateContent>
          <mc:Choice Requires="wpg">
            <w:drawing>
              <wp:anchor distT="0" distB="0" distL="114300" distR="114300" simplePos="0" relativeHeight="251658240" behindDoc="0" locked="0" layoutInCell="1" allowOverlap="1" wp14:anchorId="315C39E5" wp14:editId="3A25E474">
                <wp:simplePos x="0" y="0"/>
                <wp:positionH relativeFrom="page">
                  <wp:posOffset>341376</wp:posOffset>
                </wp:positionH>
                <wp:positionV relativeFrom="page">
                  <wp:posOffset>1483106</wp:posOffset>
                </wp:positionV>
                <wp:extent cx="9144" cy="172212"/>
                <wp:effectExtent l="0" t="0" r="0" b="0"/>
                <wp:wrapSquare wrapText="bothSides"/>
                <wp:docPr id="23621" name="Group 23621"/>
                <wp:cNvGraphicFramePr/>
                <a:graphic xmlns:a="http://schemas.openxmlformats.org/drawingml/2006/main">
                  <a:graphicData uri="http://schemas.microsoft.com/office/word/2010/wordprocessingGroup">
                    <wpg:wgp>
                      <wpg:cNvGrpSpPr/>
                      <wpg:grpSpPr>
                        <a:xfrm>
                          <a:off x="0" y="0"/>
                          <a:ext cx="9144" cy="172212"/>
                          <a:chOff x="0" y="0"/>
                          <a:chExt cx="9144" cy="172212"/>
                        </a:xfrm>
                      </wpg:grpSpPr>
                      <wps:wsp>
                        <wps:cNvPr id="26496" name="Shape 26496"/>
                        <wps:cNvSpPr/>
                        <wps:spPr>
                          <a:xfrm>
                            <a:off x="0" y="0"/>
                            <a:ext cx="9144" cy="172212"/>
                          </a:xfrm>
                          <a:custGeom>
                            <a:avLst/>
                            <a:gdLst/>
                            <a:ahLst/>
                            <a:cxnLst/>
                            <a:rect l="0" t="0" r="0" b="0"/>
                            <a:pathLst>
                              <a:path w="9144" h="172212">
                                <a:moveTo>
                                  <a:pt x="0" y="0"/>
                                </a:moveTo>
                                <a:lnTo>
                                  <a:pt x="9144" y="0"/>
                                </a:lnTo>
                                <a:lnTo>
                                  <a:pt x="9144" y="172212"/>
                                </a:lnTo>
                                <a:lnTo>
                                  <a:pt x="0" y="1722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621" style="width:0.719999pt;height:13.56pt;position:absolute;mso-position-horizontal-relative:page;mso-position-horizontal:absolute;margin-left:26.88pt;mso-position-vertical-relative:page;margin-top:116.78pt;" coordsize="91,1722">
                <v:shape id="Shape 26497" style="position:absolute;width:91;height:1722;left:0;top:0;" coordsize="9144,172212" path="m0,0l9144,0l9144,172212l0,172212l0,0">
                  <v:stroke weight="0pt" endcap="flat" joinstyle="miter" miterlimit="10" on="false" color="#000000" opacity="0"/>
                  <v:fill on="true" color="#000000"/>
                </v:shape>
                <w10:wrap type="square"/>
              </v:group>
            </w:pict>
          </mc:Fallback>
        </mc:AlternateContent>
      </w:r>
      <w:r>
        <w:t xml:space="preserve">DANE IDENTYFIKACYJNE I KONTAKTOWE DOTYCZĄCE DEWELOPERA </w:t>
      </w:r>
    </w:p>
    <w:p w14:paraId="4A7DBACB" w14:textId="77777777" w:rsidR="00F22635" w:rsidRPr="00F22635" w:rsidRDefault="00F22635" w:rsidP="00F22635"/>
    <w:tbl>
      <w:tblPr>
        <w:tblStyle w:val="TableGrid"/>
        <w:tblW w:w="10198" w:type="dxa"/>
        <w:tblInd w:w="4" w:type="dxa"/>
        <w:tblCellMar>
          <w:top w:w="55" w:type="dxa"/>
          <w:left w:w="40" w:type="dxa"/>
          <w:right w:w="115" w:type="dxa"/>
        </w:tblCellMar>
        <w:tblLook w:val="04A0" w:firstRow="1" w:lastRow="0" w:firstColumn="1" w:lastColumn="0" w:noHBand="0" w:noVBand="1"/>
      </w:tblPr>
      <w:tblGrid>
        <w:gridCol w:w="3199"/>
        <w:gridCol w:w="3496"/>
        <w:gridCol w:w="3503"/>
      </w:tblGrid>
      <w:tr w:rsidR="004121B0" w14:paraId="2C3D4E8D" w14:textId="77777777">
        <w:trPr>
          <w:trHeight w:val="795"/>
        </w:trPr>
        <w:tc>
          <w:tcPr>
            <w:tcW w:w="10198" w:type="dxa"/>
            <w:gridSpan w:val="3"/>
            <w:tcBorders>
              <w:top w:val="single" w:sz="6" w:space="0" w:color="000000"/>
              <w:left w:val="single" w:sz="6" w:space="0" w:color="000000"/>
              <w:bottom w:val="single" w:sz="6" w:space="0" w:color="000000"/>
              <w:right w:val="single" w:sz="6" w:space="0" w:color="000000"/>
            </w:tcBorders>
            <w:shd w:val="clear" w:color="auto" w:fill="CCCCCC"/>
          </w:tcPr>
          <w:p w14:paraId="505A1DFD" w14:textId="77777777" w:rsidR="004121B0" w:rsidRDefault="00016D35">
            <w:pPr>
              <w:ind w:left="28"/>
            </w:pPr>
            <w:r>
              <w:rPr>
                <w:rFonts w:ascii="Arial" w:eastAsia="Arial" w:hAnsi="Arial" w:cs="Arial"/>
                <w:b/>
                <w:sz w:val="19"/>
              </w:rPr>
              <w:t>DANE DEWELOPERA</w:t>
            </w:r>
            <w:r>
              <w:rPr>
                <w:rFonts w:ascii="Arial" w:eastAsia="Arial" w:hAnsi="Arial" w:cs="Arial"/>
                <w:sz w:val="19"/>
              </w:rPr>
              <w:t xml:space="preserve"> </w:t>
            </w:r>
          </w:p>
        </w:tc>
      </w:tr>
      <w:tr w:rsidR="004121B0" w14:paraId="28BD4038" w14:textId="77777777">
        <w:trPr>
          <w:trHeight w:val="833"/>
        </w:trPr>
        <w:tc>
          <w:tcPr>
            <w:tcW w:w="3200" w:type="dxa"/>
            <w:vMerge w:val="restart"/>
            <w:tcBorders>
              <w:top w:val="single" w:sz="6" w:space="0" w:color="000000"/>
              <w:left w:val="single" w:sz="6" w:space="0" w:color="000000"/>
              <w:bottom w:val="single" w:sz="6" w:space="0" w:color="000000"/>
              <w:right w:val="single" w:sz="6" w:space="0" w:color="000000"/>
            </w:tcBorders>
            <w:shd w:val="clear" w:color="auto" w:fill="E0E0E0"/>
          </w:tcPr>
          <w:p w14:paraId="46FB3051" w14:textId="77777777" w:rsidR="004121B0" w:rsidRDefault="00016D35">
            <w:pPr>
              <w:ind w:left="28"/>
            </w:pPr>
            <w:r>
              <w:rPr>
                <w:rFonts w:ascii="Arial" w:eastAsia="Arial" w:hAnsi="Arial" w:cs="Arial"/>
                <w:sz w:val="19"/>
              </w:rPr>
              <w:t xml:space="preserve">Deweloper </w:t>
            </w:r>
          </w:p>
        </w:tc>
        <w:tc>
          <w:tcPr>
            <w:tcW w:w="6999" w:type="dxa"/>
            <w:gridSpan w:val="2"/>
            <w:tcBorders>
              <w:top w:val="single" w:sz="6" w:space="0" w:color="000000"/>
              <w:left w:val="single" w:sz="6" w:space="0" w:color="000000"/>
              <w:bottom w:val="nil"/>
              <w:right w:val="single" w:sz="6" w:space="0" w:color="000000"/>
            </w:tcBorders>
          </w:tcPr>
          <w:p w14:paraId="2D797D00" w14:textId="2E130C6D" w:rsidR="004121B0" w:rsidRDefault="00AE7737">
            <w:r w:rsidRPr="00AE7737">
              <w:rPr>
                <w:rFonts w:ascii="Arial" w:eastAsia="Arial" w:hAnsi="Arial" w:cs="Arial"/>
              </w:rPr>
              <w:t>ADATEX NOWA DĄBROWA SPÓŁKA Z OGRANICZONĄ ODPOWIEDZIALNOŚCIĄ</w:t>
            </w:r>
            <w:r>
              <w:rPr>
                <w:rFonts w:ascii="Arial" w:eastAsia="Arial" w:hAnsi="Arial" w:cs="Arial"/>
              </w:rPr>
              <w:t xml:space="preserve"> </w:t>
            </w:r>
            <w:r w:rsidR="002E7CDB" w:rsidRPr="002E7CDB">
              <w:rPr>
                <w:rFonts w:ascii="Arial" w:eastAsia="Arial" w:hAnsi="Arial" w:cs="Arial"/>
              </w:rPr>
              <w:t>KRS: 0001121161</w:t>
            </w:r>
          </w:p>
        </w:tc>
      </w:tr>
      <w:tr w:rsidR="004121B0" w14:paraId="35DD8ADA" w14:textId="77777777">
        <w:trPr>
          <w:trHeight w:val="355"/>
        </w:trPr>
        <w:tc>
          <w:tcPr>
            <w:tcW w:w="0" w:type="auto"/>
            <w:vMerge/>
            <w:tcBorders>
              <w:top w:val="nil"/>
              <w:left w:val="single" w:sz="6" w:space="0" w:color="000000"/>
              <w:bottom w:val="single" w:sz="6" w:space="0" w:color="000000"/>
              <w:right w:val="single" w:sz="6" w:space="0" w:color="000000"/>
            </w:tcBorders>
          </w:tcPr>
          <w:p w14:paraId="7F55684D" w14:textId="77777777" w:rsidR="004121B0" w:rsidRDefault="004121B0"/>
        </w:tc>
        <w:tc>
          <w:tcPr>
            <w:tcW w:w="6999" w:type="dxa"/>
            <w:gridSpan w:val="2"/>
            <w:tcBorders>
              <w:top w:val="nil"/>
              <w:left w:val="single" w:sz="6" w:space="0" w:color="000000"/>
              <w:bottom w:val="single" w:sz="6" w:space="0" w:color="000000"/>
              <w:right w:val="single" w:sz="6" w:space="0" w:color="000000"/>
            </w:tcBorders>
            <w:shd w:val="clear" w:color="auto" w:fill="FFFFFF"/>
          </w:tcPr>
          <w:p w14:paraId="0A8F4883" w14:textId="77777777" w:rsidR="004121B0" w:rsidRDefault="00016D35">
            <w:pPr>
              <w:ind w:left="29"/>
            </w:pPr>
            <w:r>
              <w:rPr>
                <w:rFonts w:ascii="Arial" w:eastAsia="Arial" w:hAnsi="Arial" w:cs="Arial"/>
                <w:sz w:val="19"/>
              </w:rPr>
              <w:t xml:space="preserve">dane identyfikacyjne (nazwa, forma prawna, nr KRS lub nr wpisu do </w:t>
            </w:r>
            <w:proofErr w:type="spellStart"/>
            <w:r>
              <w:rPr>
                <w:rFonts w:ascii="Arial" w:eastAsia="Arial" w:hAnsi="Arial" w:cs="Arial"/>
                <w:sz w:val="19"/>
              </w:rPr>
              <w:t>CEiDG</w:t>
            </w:r>
            <w:proofErr w:type="spellEnd"/>
            <w:r>
              <w:rPr>
                <w:rFonts w:ascii="Arial" w:eastAsia="Arial" w:hAnsi="Arial" w:cs="Arial"/>
                <w:sz w:val="19"/>
              </w:rPr>
              <w:t xml:space="preserve">) </w:t>
            </w:r>
          </w:p>
        </w:tc>
      </w:tr>
      <w:tr w:rsidR="004121B0" w14:paraId="5C078C2F" w14:textId="77777777">
        <w:trPr>
          <w:trHeight w:val="2708"/>
        </w:trPr>
        <w:tc>
          <w:tcPr>
            <w:tcW w:w="3200" w:type="dxa"/>
            <w:vMerge w:val="restart"/>
            <w:tcBorders>
              <w:top w:val="single" w:sz="6" w:space="0" w:color="000000"/>
              <w:left w:val="single" w:sz="6" w:space="0" w:color="000000"/>
              <w:bottom w:val="single" w:sz="6" w:space="0" w:color="000000"/>
              <w:right w:val="single" w:sz="6" w:space="0" w:color="000000"/>
            </w:tcBorders>
            <w:shd w:val="clear" w:color="auto" w:fill="E0E0E0"/>
          </w:tcPr>
          <w:p w14:paraId="0F24AF0E" w14:textId="77777777" w:rsidR="004121B0" w:rsidRDefault="00016D35">
            <w:pPr>
              <w:ind w:left="28"/>
            </w:pPr>
            <w:r>
              <w:rPr>
                <w:rFonts w:ascii="Arial" w:eastAsia="Arial" w:hAnsi="Arial" w:cs="Arial"/>
                <w:sz w:val="19"/>
              </w:rPr>
              <w:t xml:space="preserve">Adres </w:t>
            </w:r>
          </w:p>
        </w:tc>
        <w:tc>
          <w:tcPr>
            <w:tcW w:w="6999" w:type="dxa"/>
            <w:gridSpan w:val="2"/>
            <w:tcBorders>
              <w:top w:val="single" w:sz="6" w:space="0" w:color="000000"/>
              <w:left w:val="single" w:sz="6" w:space="0" w:color="000000"/>
              <w:bottom w:val="nil"/>
              <w:right w:val="single" w:sz="6" w:space="0" w:color="000000"/>
            </w:tcBorders>
          </w:tcPr>
          <w:p w14:paraId="0D5C681B" w14:textId="77777777" w:rsidR="004121B0" w:rsidRDefault="00016D35">
            <w:pPr>
              <w:spacing w:after="64"/>
            </w:pPr>
            <w:r>
              <w:rPr>
                <w:rFonts w:ascii="Arial" w:eastAsia="Arial" w:hAnsi="Arial" w:cs="Arial"/>
              </w:rPr>
              <w:t xml:space="preserve"> </w:t>
            </w:r>
          </w:p>
          <w:p w14:paraId="2D129A3E" w14:textId="77777777" w:rsidR="004121B0" w:rsidRDefault="00016D35">
            <w:pPr>
              <w:spacing w:after="59"/>
            </w:pPr>
            <w:r>
              <w:rPr>
                <w:rFonts w:ascii="Arial" w:eastAsia="Arial" w:hAnsi="Arial" w:cs="Arial"/>
              </w:rPr>
              <w:t xml:space="preserve">Główna siedziba:  </w:t>
            </w:r>
          </w:p>
          <w:p w14:paraId="3DB40C79" w14:textId="77777777" w:rsidR="004121B0" w:rsidRDefault="00016D35">
            <w:pPr>
              <w:spacing w:after="26"/>
            </w:pPr>
            <w:r>
              <w:rPr>
                <w:rFonts w:ascii="Arial" w:eastAsia="Arial" w:hAnsi="Arial" w:cs="Arial"/>
              </w:rPr>
              <w:t xml:space="preserve">41-303 Dąbrowa Górnicza </w:t>
            </w:r>
          </w:p>
          <w:p w14:paraId="3F4F5087" w14:textId="77777777" w:rsidR="004121B0" w:rsidRDefault="00016D35">
            <w:pPr>
              <w:spacing w:after="26"/>
            </w:pPr>
            <w:r>
              <w:rPr>
                <w:rFonts w:ascii="Arial" w:eastAsia="Arial" w:hAnsi="Arial" w:cs="Arial"/>
              </w:rPr>
              <w:t xml:space="preserve">Ul. Graniczna 34B/U24 </w:t>
            </w:r>
          </w:p>
          <w:p w14:paraId="60D12B53" w14:textId="77777777" w:rsidR="004121B0" w:rsidRDefault="00016D35">
            <w:pPr>
              <w:spacing w:after="63"/>
            </w:pPr>
            <w:r>
              <w:rPr>
                <w:rFonts w:ascii="Arial" w:eastAsia="Arial" w:hAnsi="Arial" w:cs="Arial"/>
              </w:rPr>
              <w:t xml:space="preserve"> </w:t>
            </w:r>
          </w:p>
          <w:p w14:paraId="5377F8A7" w14:textId="77777777" w:rsidR="004121B0" w:rsidRDefault="00016D35">
            <w:pPr>
              <w:spacing w:after="53"/>
            </w:pPr>
            <w:r>
              <w:rPr>
                <w:rFonts w:ascii="Arial" w:eastAsia="Arial" w:hAnsi="Arial" w:cs="Arial"/>
              </w:rPr>
              <w:t xml:space="preserve">Biuro sprzedaży DĄBROWA GÓRNICZA: </w:t>
            </w:r>
          </w:p>
          <w:p w14:paraId="3C8AEEEB" w14:textId="77777777" w:rsidR="004121B0" w:rsidRDefault="00016D35">
            <w:pPr>
              <w:spacing w:after="26"/>
            </w:pPr>
            <w:r>
              <w:rPr>
                <w:rFonts w:ascii="Arial" w:eastAsia="Arial" w:hAnsi="Arial" w:cs="Arial"/>
              </w:rPr>
              <w:t xml:space="preserve">41-303 Dąbrowa Górnicza </w:t>
            </w:r>
          </w:p>
          <w:p w14:paraId="38FC7574" w14:textId="77777777" w:rsidR="004121B0" w:rsidRDefault="00016D35">
            <w:pPr>
              <w:spacing w:after="26"/>
            </w:pPr>
            <w:r>
              <w:rPr>
                <w:rFonts w:ascii="Arial" w:eastAsia="Arial" w:hAnsi="Arial" w:cs="Arial"/>
              </w:rPr>
              <w:t xml:space="preserve">Ul. Graniczna 34B/U24 </w:t>
            </w:r>
          </w:p>
          <w:p w14:paraId="4832B2F0" w14:textId="77777777" w:rsidR="004121B0" w:rsidRDefault="00016D35">
            <w:r>
              <w:rPr>
                <w:rFonts w:ascii="Arial" w:eastAsia="Arial" w:hAnsi="Arial" w:cs="Arial"/>
              </w:rPr>
              <w:t xml:space="preserve"> </w:t>
            </w:r>
          </w:p>
        </w:tc>
      </w:tr>
      <w:tr w:rsidR="004121B0" w14:paraId="2878D92C" w14:textId="77777777">
        <w:trPr>
          <w:trHeight w:val="348"/>
        </w:trPr>
        <w:tc>
          <w:tcPr>
            <w:tcW w:w="0" w:type="auto"/>
            <w:vMerge/>
            <w:tcBorders>
              <w:top w:val="nil"/>
              <w:left w:val="single" w:sz="6" w:space="0" w:color="000000"/>
              <w:bottom w:val="single" w:sz="6" w:space="0" w:color="000000"/>
              <w:right w:val="single" w:sz="6" w:space="0" w:color="000000"/>
            </w:tcBorders>
          </w:tcPr>
          <w:p w14:paraId="2899CF9A" w14:textId="77777777" w:rsidR="004121B0" w:rsidRDefault="004121B0"/>
        </w:tc>
        <w:tc>
          <w:tcPr>
            <w:tcW w:w="6999" w:type="dxa"/>
            <w:gridSpan w:val="2"/>
            <w:tcBorders>
              <w:top w:val="nil"/>
              <w:left w:val="single" w:sz="6" w:space="0" w:color="000000"/>
              <w:bottom w:val="single" w:sz="6" w:space="0" w:color="000000"/>
              <w:right w:val="single" w:sz="6" w:space="0" w:color="000000"/>
            </w:tcBorders>
            <w:shd w:val="clear" w:color="auto" w:fill="FFFFFF"/>
          </w:tcPr>
          <w:p w14:paraId="2FBE0955" w14:textId="77777777" w:rsidR="004121B0" w:rsidRDefault="00016D35">
            <w:pPr>
              <w:ind w:left="29"/>
            </w:pPr>
            <w:r>
              <w:rPr>
                <w:rFonts w:ascii="Arial" w:eastAsia="Arial" w:hAnsi="Arial" w:cs="Arial"/>
                <w:sz w:val="19"/>
              </w:rPr>
              <w:t xml:space="preserve">(adres lokalu przedsiębiorstwa) </w:t>
            </w:r>
          </w:p>
        </w:tc>
      </w:tr>
      <w:tr w:rsidR="004121B0" w14:paraId="7D0A1D5E" w14:textId="77777777">
        <w:trPr>
          <w:trHeight w:val="322"/>
        </w:trPr>
        <w:tc>
          <w:tcPr>
            <w:tcW w:w="3200" w:type="dxa"/>
            <w:vMerge w:val="restart"/>
            <w:tcBorders>
              <w:top w:val="single" w:sz="6" w:space="0" w:color="000000"/>
              <w:left w:val="single" w:sz="6" w:space="0" w:color="000000"/>
              <w:bottom w:val="single" w:sz="6" w:space="0" w:color="000000"/>
              <w:right w:val="single" w:sz="6" w:space="0" w:color="000000"/>
            </w:tcBorders>
            <w:shd w:val="clear" w:color="auto" w:fill="E0E0E0"/>
          </w:tcPr>
          <w:p w14:paraId="3F3037EA" w14:textId="77777777" w:rsidR="004121B0" w:rsidRDefault="00016D35">
            <w:pPr>
              <w:ind w:left="28"/>
            </w:pPr>
            <w:r>
              <w:rPr>
                <w:rFonts w:ascii="Arial" w:eastAsia="Arial" w:hAnsi="Arial" w:cs="Arial"/>
                <w:sz w:val="19"/>
              </w:rPr>
              <w:t xml:space="preserve">Nr NIP i REGON </w:t>
            </w:r>
          </w:p>
        </w:tc>
        <w:tc>
          <w:tcPr>
            <w:tcW w:w="3496" w:type="dxa"/>
            <w:tcBorders>
              <w:top w:val="single" w:sz="6" w:space="0" w:color="000000"/>
              <w:left w:val="single" w:sz="6" w:space="0" w:color="000000"/>
              <w:bottom w:val="nil"/>
              <w:right w:val="single" w:sz="6" w:space="0" w:color="000000"/>
            </w:tcBorders>
          </w:tcPr>
          <w:p w14:paraId="37DDD810" w14:textId="77777777" w:rsidR="004121B0" w:rsidRDefault="00016D35">
            <w:pPr>
              <w:ind w:left="29"/>
            </w:pPr>
            <w:r>
              <w:rPr>
                <w:rFonts w:ascii="Arial" w:eastAsia="Arial" w:hAnsi="Arial" w:cs="Arial"/>
                <w:sz w:val="19"/>
              </w:rPr>
              <w:t xml:space="preserve">(NIP) </w:t>
            </w:r>
          </w:p>
        </w:tc>
        <w:tc>
          <w:tcPr>
            <w:tcW w:w="3503" w:type="dxa"/>
            <w:tcBorders>
              <w:top w:val="single" w:sz="6" w:space="0" w:color="000000"/>
              <w:left w:val="single" w:sz="6" w:space="0" w:color="000000"/>
              <w:bottom w:val="nil"/>
              <w:right w:val="single" w:sz="6" w:space="0" w:color="000000"/>
            </w:tcBorders>
          </w:tcPr>
          <w:p w14:paraId="54B69F4D" w14:textId="77777777" w:rsidR="004121B0" w:rsidRDefault="00016D35">
            <w:pPr>
              <w:ind w:left="28"/>
            </w:pPr>
            <w:r>
              <w:rPr>
                <w:rFonts w:ascii="Arial" w:eastAsia="Arial" w:hAnsi="Arial" w:cs="Arial"/>
                <w:sz w:val="19"/>
              </w:rPr>
              <w:t xml:space="preserve">(REGON) </w:t>
            </w:r>
          </w:p>
        </w:tc>
      </w:tr>
      <w:tr w:rsidR="004121B0" w14:paraId="4A11AE04" w14:textId="77777777">
        <w:trPr>
          <w:trHeight w:val="698"/>
        </w:trPr>
        <w:tc>
          <w:tcPr>
            <w:tcW w:w="0" w:type="auto"/>
            <w:vMerge/>
            <w:tcBorders>
              <w:top w:val="nil"/>
              <w:left w:val="single" w:sz="6" w:space="0" w:color="000000"/>
              <w:bottom w:val="single" w:sz="6" w:space="0" w:color="000000"/>
              <w:right w:val="single" w:sz="6" w:space="0" w:color="000000"/>
            </w:tcBorders>
          </w:tcPr>
          <w:p w14:paraId="08159B88" w14:textId="77777777" w:rsidR="004121B0" w:rsidRDefault="004121B0"/>
        </w:tc>
        <w:tc>
          <w:tcPr>
            <w:tcW w:w="3496" w:type="dxa"/>
            <w:tcBorders>
              <w:top w:val="nil"/>
              <w:left w:val="single" w:sz="6" w:space="0" w:color="000000"/>
              <w:bottom w:val="single" w:sz="6" w:space="0" w:color="000000"/>
              <w:right w:val="single" w:sz="6" w:space="0" w:color="000000"/>
            </w:tcBorders>
            <w:shd w:val="clear" w:color="auto" w:fill="FFFFFF"/>
            <w:vAlign w:val="center"/>
          </w:tcPr>
          <w:p w14:paraId="3FFC77F7" w14:textId="2BB59C3C" w:rsidR="004121B0" w:rsidRDefault="002E7CDB">
            <w:pPr>
              <w:ind w:left="72"/>
              <w:jc w:val="center"/>
            </w:pPr>
            <w:r w:rsidRPr="002E7CDB">
              <w:rPr>
                <w:rFonts w:ascii="Arial" w:eastAsia="Arial" w:hAnsi="Arial" w:cs="Arial"/>
              </w:rPr>
              <w:t>6292512364</w:t>
            </w:r>
            <w:r w:rsidR="00016D35">
              <w:rPr>
                <w:rFonts w:ascii="Arial" w:eastAsia="Arial" w:hAnsi="Arial" w:cs="Arial"/>
              </w:rPr>
              <w:t xml:space="preserve"> </w:t>
            </w:r>
          </w:p>
        </w:tc>
        <w:tc>
          <w:tcPr>
            <w:tcW w:w="3503" w:type="dxa"/>
            <w:tcBorders>
              <w:top w:val="nil"/>
              <w:left w:val="single" w:sz="6" w:space="0" w:color="000000"/>
              <w:bottom w:val="single" w:sz="6" w:space="0" w:color="000000"/>
              <w:right w:val="single" w:sz="6" w:space="0" w:color="000000"/>
            </w:tcBorders>
            <w:shd w:val="clear" w:color="auto" w:fill="FFFFFF"/>
            <w:vAlign w:val="center"/>
          </w:tcPr>
          <w:p w14:paraId="5393041D" w14:textId="5E2FD920" w:rsidR="004121B0" w:rsidRDefault="00B43FBE">
            <w:pPr>
              <w:ind w:left="76"/>
              <w:jc w:val="center"/>
            </w:pPr>
            <w:r w:rsidRPr="00B43FBE">
              <w:rPr>
                <w:rFonts w:ascii="Arial" w:eastAsia="Arial" w:hAnsi="Arial" w:cs="Arial"/>
              </w:rPr>
              <w:t>528556556</w:t>
            </w:r>
          </w:p>
        </w:tc>
      </w:tr>
      <w:tr w:rsidR="004121B0" w14:paraId="04087029" w14:textId="77777777">
        <w:trPr>
          <w:trHeight w:val="610"/>
        </w:trPr>
        <w:tc>
          <w:tcPr>
            <w:tcW w:w="320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234DB55C" w14:textId="77777777" w:rsidR="004121B0" w:rsidRDefault="00016D35">
            <w:pPr>
              <w:ind w:left="28"/>
            </w:pPr>
            <w:r>
              <w:rPr>
                <w:rFonts w:ascii="Arial" w:eastAsia="Arial" w:hAnsi="Arial" w:cs="Arial"/>
                <w:sz w:val="19"/>
              </w:rPr>
              <w:t xml:space="preserve">Nr telefonu </w:t>
            </w:r>
          </w:p>
        </w:tc>
        <w:tc>
          <w:tcPr>
            <w:tcW w:w="6999" w:type="dxa"/>
            <w:gridSpan w:val="2"/>
            <w:tcBorders>
              <w:top w:val="single" w:sz="6" w:space="0" w:color="000000"/>
              <w:left w:val="single" w:sz="6" w:space="0" w:color="000000"/>
              <w:bottom w:val="single" w:sz="6" w:space="0" w:color="000000"/>
              <w:right w:val="single" w:sz="6" w:space="0" w:color="000000"/>
            </w:tcBorders>
          </w:tcPr>
          <w:p w14:paraId="77333F18" w14:textId="08260A5E" w:rsidR="004121B0" w:rsidRDefault="00DD1166">
            <w:r w:rsidRPr="00DD1166">
              <w:rPr>
                <w:rFonts w:ascii="Arial" w:eastAsia="Arial" w:hAnsi="Arial" w:cs="Arial"/>
              </w:rPr>
              <w:t>530</w:t>
            </w:r>
            <w:r>
              <w:rPr>
                <w:rFonts w:ascii="Arial" w:eastAsia="Arial" w:hAnsi="Arial" w:cs="Arial"/>
              </w:rPr>
              <w:t> </w:t>
            </w:r>
            <w:r w:rsidRPr="00DD1166">
              <w:rPr>
                <w:rFonts w:ascii="Arial" w:eastAsia="Arial" w:hAnsi="Arial" w:cs="Arial"/>
              </w:rPr>
              <w:t>717</w:t>
            </w:r>
            <w:r>
              <w:rPr>
                <w:rFonts w:ascii="Arial" w:eastAsia="Arial" w:hAnsi="Arial" w:cs="Arial"/>
              </w:rPr>
              <w:t xml:space="preserve"> </w:t>
            </w:r>
            <w:r w:rsidRPr="00DD1166">
              <w:rPr>
                <w:rFonts w:ascii="Arial" w:eastAsia="Arial" w:hAnsi="Arial" w:cs="Arial"/>
              </w:rPr>
              <w:t>718</w:t>
            </w:r>
          </w:p>
        </w:tc>
      </w:tr>
      <w:tr w:rsidR="004121B0" w14:paraId="212AA4EB" w14:textId="77777777">
        <w:trPr>
          <w:trHeight w:val="1215"/>
        </w:trPr>
        <w:tc>
          <w:tcPr>
            <w:tcW w:w="3200" w:type="dxa"/>
            <w:tcBorders>
              <w:top w:val="single" w:sz="6" w:space="0" w:color="000000"/>
              <w:left w:val="single" w:sz="6" w:space="0" w:color="000000"/>
              <w:bottom w:val="single" w:sz="6" w:space="0" w:color="000000"/>
              <w:right w:val="single" w:sz="6" w:space="0" w:color="000000"/>
            </w:tcBorders>
            <w:shd w:val="clear" w:color="auto" w:fill="E0E0E0"/>
          </w:tcPr>
          <w:p w14:paraId="52C392DC" w14:textId="77777777" w:rsidR="004121B0" w:rsidRDefault="00016D35">
            <w:pPr>
              <w:ind w:left="28"/>
            </w:pPr>
            <w:r>
              <w:rPr>
                <w:rFonts w:ascii="Arial" w:eastAsia="Arial" w:hAnsi="Arial" w:cs="Arial"/>
                <w:sz w:val="19"/>
              </w:rPr>
              <w:t xml:space="preserve">Adres poczty elektronicznej </w:t>
            </w:r>
          </w:p>
        </w:tc>
        <w:tc>
          <w:tcPr>
            <w:tcW w:w="6999" w:type="dxa"/>
            <w:gridSpan w:val="2"/>
            <w:tcBorders>
              <w:top w:val="single" w:sz="6" w:space="0" w:color="000000"/>
              <w:left w:val="single" w:sz="6" w:space="0" w:color="000000"/>
              <w:bottom w:val="single" w:sz="6" w:space="0" w:color="000000"/>
              <w:right w:val="single" w:sz="6" w:space="0" w:color="000000"/>
            </w:tcBorders>
          </w:tcPr>
          <w:p w14:paraId="33E5E414" w14:textId="77777777" w:rsidR="004121B0" w:rsidRDefault="00016D35">
            <w:pPr>
              <w:spacing w:after="63"/>
            </w:pPr>
            <w:r>
              <w:rPr>
                <w:rFonts w:ascii="Arial" w:eastAsia="Arial" w:hAnsi="Arial" w:cs="Arial"/>
              </w:rPr>
              <w:t xml:space="preserve"> </w:t>
            </w:r>
          </w:p>
          <w:p w14:paraId="156BAB29" w14:textId="77777777" w:rsidR="004121B0" w:rsidRDefault="00016D35">
            <w:pPr>
              <w:spacing w:line="284" w:lineRule="auto"/>
              <w:ind w:right="3498"/>
            </w:pPr>
            <w:r>
              <w:rPr>
                <w:rFonts w:ascii="Arial" w:eastAsia="Arial" w:hAnsi="Arial" w:cs="Arial"/>
              </w:rPr>
              <w:t xml:space="preserve">Główna siedziba: </w:t>
            </w:r>
            <w:r>
              <w:rPr>
                <w:rFonts w:ascii="Arial" w:eastAsia="Arial" w:hAnsi="Arial" w:cs="Arial"/>
                <w:color w:val="0000FF"/>
                <w:u w:val="single" w:color="0000FF"/>
              </w:rPr>
              <w:t>biuro@adatex.pl</w:t>
            </w:r>
            <w:r>
              <w:rPr>
                <w:rFonts w:ascii="Arial" w:eastAsia="Arial" w:hAnsi="Arial" w:cs="Arial"/>
              </w:rPr>
              <w:t xml:space="preserve"> </w:t>
            </w:r>
          </w:p>
          <w:p w14:paraId="5E91F9D7" w14:textId="77777777" w:rsidR="004121B0" w:rsidRDefault="00016D35">
            <w:r>
              <w:rPr>
                <w:rFonts w:ascii="Arial" w:eastAsia="Arial" w:hAnsi="Arial" w:cs="Arial"/>
              </w:rPr>
              <w:t xml:space="preserve"> </w:t>
            </w:r>
          </w:p>
        </w:tc>
      </w:tr>
      <w:tr w:rsidR="004121B0" w14:paraId="32EB3BD0" w14:textId="77777777">
        <w:trPr>
          <w:trHeight w:val="616"/>
        </w:trPr>
        <w:tc>
          <w:tcPr>
            <w:tcW w:w="320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7C058FDA" w14:textId="77777777" w:rsidR="004121B0" w:rsidRDefault="00016D35">
            <w:pPr>
              <w:ind w:left="28"/>
            </w:pPr>
            <w:r>
              <w:rPr>
                <w:rFonts w:ascii="Arial" w:eastAsia="Arial" w:hAnsi="Arial" w:cs="Arial"/>
                <w:sz w:val="19"/>
              </w:rPr>
              <w:t xml:space="preserve">Nr faksu </w:t>
            </w:r>
          </w:p>
        </w:tc>
        <w:tc>
          <w:tcPr>
            <w:tcW w:w="6999" w:type="dxa"/>
            <w:gridSpan w:val="2"/>
            <w:tcBorders>
              <w:top w:val="single" w:sz="6" w:space="0" w:color="000000"/>
              <w:left w:val="single" w:sz="6" w:space="0" w:color="000000"/>
              <w:bottom w:val="single" w:sz="6" w:space="0" w:color="000000"/>
              <w:right w:val="single" w:sz="6" w:space="0" w:color="000000"/>
            </w:tcBorders>
          </w:tcPr>
          <w:p w14:paraId="7C6C9F25" w14:textId="77777777" w:rsidR="004121B0" w:rsidRDefault="00016D35">
            <w:pPr>
              <w:spacing w:after="26"/>
            </w:pPr>
            <w:r>
              <w:rPr>
                <w:rFonts w:ascii="Arial" w:eastAsia="Arial" w:hAnsi="Arial" w:cs="Arial"/>
              </w:rPr>
              <w:t xml:space="preserve"> </w:t>
            </w:r>
          </w:p>
          <w:p w14:paraId="6E223F81" w14:textId="77777777" w:rsidR="004121B0" w:rsidRDefault="00016D35">
            <w:r>
              <w:rPr>
                <w:rFonts w:ascii="Arial" w:eastAsia="Arial" w:hAnsi="Arial" w:cs="Arial"/>
              </w:rPr>
              <w:t xml:space="preserve">- </w:t>
            </w:r>
          </w:p>
        </w:tc>
      </w:tr>
      <w:tr w:rsidR="004121B0" w14:paraId="5573416F" w14:textId="77777777">
        <w:trPr>
          <w:trHeight w:val="1214"/>
        </w:trPr>
        <w:tc>
          <w:tcPr>
            <w:tcW w:w="3200" w:type="dxa"/>
            <w:tcBorders>
              <w:top w:val="single" w:sz="6" w:space="0" w:color="000000"/>
              <w:left w:val="single" w:sz="6" w:space="0" w:color="000000"/>
              <w:bottom w:val="single" w:sz="6" w:space="0" w:color="000000"/>
              <w:right w:val="single" w:sz="6" w:space="0" w:color="000000"/>
            </w:tcBorders>
            <w:shd w:val="clear" w:color="auto" w:fill="E0E0E0"/>
          </w:tcPr>
          <w:p w14:paraId="05626F76" w14:textId="77777777" w:rsidR="004121B0" w:rsidRDefault="00016D35">
            <w:pPr>
              <w:ind w:left="28"/>
            </w:pPr>
            <w:r>
              <w:rPr>
                <w:rFonts w:ascii="Arial" w:eastAsia="Arial" w:hAnsi="Arial" w:cs="Arial"/>
                <w:sz w:val="19"/>
              </w:rPr>
              <w:t xml:space="preserve">Adres strony internetowej dewelopera </w:t>
            </w:r>
          </w:p>
        </w:tc>
        <w:tc>
          <w:tcPr>
            <w:tcW w:w="6999" w:type="dxa"/>
            <w:gridSpan w:val="2"/>
            <w:tcBorders>
              <w:top w:val="single" w:sz="6" w:space="0" w:color="000000"/>
              <w:left w:val="single" w:sz="6" w:space="0" w:color="000000"/>
              <w:bottom w:val="single" w:sz="6" w:space="0" w:color="000000"/>
              <w:right w:val="single" w:sz="6" w:space="0" w:color="000000"/>
            </w:tcBorders>
          </w:tcPr>
          <w:p w14:paraId="2C5AADA0" w14:textId="77777777" w:rsidR="004121B0" w:rsidRDefault="00016D35">
            <w:pPr>
              <w:spacing w:after="59"/>
            </w:pPr>
            <w:r>
              <w:rPr>
                <w:rFonts w:ascii="Arial" w:eastAsia="Arial" w:hAnsi="Arial" w:cs="Arial"/>
              </w:rPr>
              <w:t xml:space="preserve"> </w:t>
            </w:r>
          </w:p>
          <w:p w14:paraId="2DC3AFF6" w14:textId="77777777" w:rsidR="004121B0" w:rsidRDefault="00016D35">
            <w:pPr>
              <w:spacing w:line="284" w:lineRule="auto"/>
              <w:ind w:right="3880"/>
            </w:pPr>
            <w:r>
              <w:rPr>
                <w:rFonts w:ascii="Arial" w:eastAsia="Arial" w:hAnsi="Arial" w:cs="Arial"/>
              </w:rPr>
              <w:t xml:space="preserve">Strona główna: www.adatex.pl </w:t>
            </w:r>
          </w:p>
          <w:p w14:paraId="47424C3B" w14:textId="77777777" w:rsidR="004121B0" w:rsidRDefault="00016D35">
            <w:r>
              <w:rPr>
                <w:rFonts w:ascii="Arial" w:eastAsia="Arial" w:hAnsi="Arial" w:cs="Arial"/>
              </w:rPr>
              <w:t xml:space="preserve"> </w:t>
            </w:r>
          </w:p>
        </w:tc>
      </w:tr>
    </w:tbl>
    <w:p w14:paraId="41A21C89" w14:textId="77777777" w:rsidR="004121B0" w:rsidRDefault="00016D35">
      <w:pPr>
        <w:pStyle w:val="Nagwek1"/>
        <w:ind w:left="242" w:hanging="211"/>
      </w:pPr>
      <w:r>
        <w:lastRenderedPageBreak/>
        <w:t xml:space="preserve">DOŚWIADCZENIE DEWELOPERA </w:t>
      </w:r>
    </w:p>
    <w:tbl>
      <w:tblPr>
        <w:tblStyle w:val="TableGrid"/>
        <w:tblW w:w="10198" w:type="dxa"/>
        <w:tblInd w:w="4" w:type="dxa"/>
        <w:tblCellMar>
          <w:top w:w="55" w:type="dxa"/>
          <w:left w:w="39" w:type="dxa"/>
          <w:right w:w="42" w:type="dxa"/>
        </w:tblCellMar>
        <w:tblLook w:val="04A0" w:firstRow="1" w:lastRow="0" w:firstColumn="1" w:lastColumn="0" w:noHBand="0" w:noVBand="1"/>
      </w:tblPr>
      <w:tblGrid>
        <w:gridCol w:w="3199"/>
        <w:gridCol w:w="6999"/>
      </w:tblGrid>
      <w:tr w:rsidR="004121B0" w14:paraId="2CDFF7FE" w14:textId="77777777">
        <w:trPr>
          <w:trHeight w:val="1715"/>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14:paraId="4250B296" w14:textId="14892A2C" w:rsidR="004121B0" w:rsidRDefault="00016D35" w:rsidP="009E50D4">
            <w:pPr>
              <w:spacing w:after="173"/>
              <w:ind w:left="29"/>
            </w:pPr>
            <w:r>
              <w:rPr>
                <w:rFonts w:ascii="Arial" w:eastAsia="Arial" w:hAnsi="Arial" w:cs="Arial"/>
                <w:b/>
                <w:sz w:val="19"/>
              </w:rPr>
              <w:t xml:space="preserve">HISTORIA I UDOKUMENTOWANE DOŚWIADCZENIE DEWELOPERA </w:t>
            </w:r>
          </w:p>
        </w:tc>
      </w:tr>
      <w:tr w:rsidR="004121B0" w14:paraId="37FD6557" w14:textId="77777777">
        <w:trPr>
          <w:trHeight w:val="1415"/>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CCCCCC"/>
          </w:tcPr>
          <w:p w14:paraId="27399382" w14:textId="77777777" w:rsidR="004121B0" w:rsidRDefault="00016D35">
            <w:pPr>
              <w:spacing w:after="119" w:line="325" w:lineRule="auto"/>
              <w:ind w:left="29"/>
              <w:jc w:val="both"/>
            </w:pPr>
            <w:r>
              <w:rPr>
                <w:rFonts w:ascii="Arial" w:eastAsia="Arial" w:hAnsi="Arial" w:cs="Arial"/>
                <w:b/>
                <w:sz w:val="19"/>
              </w:rPr>
              <w:t xml:space="preserve">PRZYKŁAD UKOŃCZONEGO PRZEDSIĘWZIĘCIA DEWELOPERSKIEGO (należy wskazać (o ile istnieją) trzy ukończone przedsięwzięcia deweloperskie, w tym ostatnie) </w:t>
            </w:r>
          </w:p>
          <w:p w14:paraId="66DC9999" w14:textId="6D239F11" w:rsidR="004121B0" w:rsidRDefault="004121B0"/>
        </w:tc>
      </w:tr>
      <w:tr w:rsidR="004121B0" w14:paraId="23D1B1D7" w14:textId="77777777">
        <w:trPr>
          <w:trHeight w:val="610"/>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0F257D85" w14:textId="77777777" w:rsidR="004121B0" w:rsidRDefault="00016D35">
            <w:pPr>
              <w:ind w:left="29"/>
            </w:pPr>
            <w:r>
              <w:rPr>
                <w:rFonts w:ascii="Arial" w:eastAsia="Arial" w:hAnsi="Arial" w:cs="Arial"/>
                <w:sz w:val="19"/>
              </w:rPr>
              <w:t xml:space="preserve">Adres </w:t>
            </w:r>
          </w:p>
        </w:tc>
        <w:tc>
          <w:tcPr>
            <w:tcW w:w="6999" w:type="dxa"/>
            <w:tcBorders>
              <w:top w:val="single" w:sz="6" w:space="0" w:color="000000"/>
              <w:left w:val="single" w:sz="6" w:space="0" w:color="000000"/>
              <w:bottom w:val="single" w:sz="6" w:space="0" w:color="000000"/>
              <w:right w:val="single" w:sz="6" w:space="0" w:color="000000"/>
            </w:tcBorders>
          </w:tcPr>
          <w:p w14:paraId="2C4D12A9" w14:textId="0A9A3B27" w:rsidR="004121B0" w:rsidRDefault="004121B0">
            <w:pPr>
              <w:ind w:left="1"/>
            </w:pPr>
          </w:p>
        </w:tc>
      </w:tr>
      <w:tr w:rsidR="004121B0" w14:paraId="496A212C" w14:textId="77777777">
        <w:trPr>
          <w:trHeight w:val="611"/>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3EA053C8" w14:textId="77777777" w:rsidR="004121B0" w:rsidRDefault="00016D35">
            <w:pPr>
              <w:ind w:left="29"/>
            </w:pPr>
            <w:r>
              <w:rPr>
                <w:rFonts w:ascii="Arial" w:eastAsia="Arial" w:hAnsi="Arial" w:cs="Arial"/>
                <w:sz w:val="19"/>
              </w:rPr>
              <w:t xml:space="preserve">Data rozpoczęcia </w:t>
            </w:r>
          </w:p>
        </w:tc>
        <w:tc>
          <w:tcPr>
            <w:tcW w:w="6999" w:type="dxa"/>
            <w:tcBorders>
              <w:top w:val="single" w:sz="6" w:space="0" w:color="000000"/>
              <w:left w:val="single" w:sz="6" w:space="0" w:color="000000"/>
              <w:bottom w:val="single" w:sz="6" w:space="0" w:color="000000"/>
              <w:right w:val="single" w:sz="6" w:space="0" w:color="000000"/>
            </w:tcBorders>
          </w:tcPr>
          <w:p w14:paraId="27BAEEDB" w14:textId="0DA1BD80" w:rsidR="004121B0" w:rsidRDefault="004121B0">
            <w:pPr>
              <w:ind w:left="1"/>
            </w:pPr>
          </w:p>
        </w:tc>
      </w:tr>
      <w:tr w:rsidR="004121B0" w14:paraId="7484A1FB" w14:textId="77777777">
        <w:trPr>
          <w:trHeight w:val="744"/>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0787781E" w14:textId="77777777" w:rsidR="004121B0" w:rsidRDefault="00016D35">
            <w:pPr>
              <w:ind w:left="29"/>
            </w:pPr>
            <w:r>
              <w:rPr>
                <w:rFonts w:ascii="Arial" w:eastAsia="Arial" w:hAnsi="Arial" w:cs="Arial"/>
                <w:sz w:val="19"/>
              </w:rPr>
              <w:t xml:space="preserve">Data wydania ostatecznego pozwolenia na użytkowanie </w:t>
            </w:r>
          </w:p>
        </w:tc>
        <w:tc>
          <w:tcPr>
            <w:tcW w:w="6999" w:type="dxa"/>
            <w:tcBorders>
              <w:top w:val="single" w:sz="6" w:space="0" w:color="000000"/>
              <w:left w:val="single" w:sz="6" w:space="0" w:color="000000"/>
              <w:bottom w:val="single" w:sz="6" w:space="0" w:color="000000"/>
              <w:right w:val="single" w:sz="6" w:space="0" w:color="000000"/>
            </w:tcBorders>
          </w:tcPr>
          <w:p w14:paraId="7317D649" w14:textId="114583FD" w:rsidR="004121B0" w:rsidRDefault="004121B0">
            <w:pPr>
              <w:ind w:left="1"/>
            </w:pPr>
          </w:p>
        </w:tc>
      </w:tr>
      <w:tr w:rsidR="004121B0" w14:paraId="315C3481" w14:textId="77777777">
        <w:trPr>
          <w:trHeight w:val="1466"/>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4716F1" w14:textId="77777777" w:rsidR="004121B0" w:rsidRDefault="00016D35">
            <w:pPr>
              <w:spacing w:after="162"/>
              <w:ind w:left="29"/>
            </w:pPr>
            <w:r>
              <w:rPr>
                <w:rFonts w:ascii="Arial" w:eastAsia="Arial" w:hAnsi="Arial" w:cs="Arial"/>
                <w:b/>
                <w:sz w:val="19"/>
              </w:rPr>
              <w:t xml:space="preserve">PRZYKŁAD INNEGO UKOŃCZONEGO PRZEDSIĘWZIĘCIA DEWELOPERSKIEGO </w:t>
            </w:r>
          </w:p>
          <w:p w14:paraId="0547DFAA" w14:textId="32E53E5A" w:rsidR="004121B0" w:rsidRDefault="004121B0">
            <w:pPr>
              <w:ind w:left="29"/>
            </w:pPr>
          </w:p>
        </w:tc>
      </w:tr>
      <w:tr w:rsidR="004121B0" w14:paraId="201AE855" w14:textId="77777777">
        <w:trPr>
          <w:trHeight w:val="611"/>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39571819" w14:textId="77777777" w:rsidR="004121B0" w:rsidRDefault="00016D35">
            <w:pPr>
              <w:ind w:left="29"/>
            </w:pPr>
            <w:r>
              <w:rPr>
                <w:rFonts w:ascii="Arial" w:eastAsia="Arial" w:hAnsi="Arial" w:cs="Arial"/>
                <w:sz w:val="19"/>
              </w:rPr>
              <w:t xml:space="preserve">Adres </w:t>
            </w:r>
          </w:p>
        </w:tc>
        <w:tc>
          <w:tcPr>
            <w:tcW w:w="6999" w:type="dxa"/>
            <w:tcBorders>
              <w:top w:val="single" w:sz="6" w:space="0" w:color="000000"/>
              <w:left w:val="single" w:sz="6" w:space="0" w:color="000000"/>
              <w:bottom w:val="single" w:sz="6" w:space="0" w:color="000000"/>
              <w:right w:val="single" w:sz="6" w:space="0" w:color="000000"/>
            </w:tcBorders>
          </w:tcPr>
          <w:p w14:paraId="5D444BC0" w14:textId="7103DA8A" w:rsidR="004121B0" w:rsidRDefault="004121B0">
            <w:pPr>
              <w:ind w:left="1"/>
            </w:pPr>
          </w:p>
        </w:tc>
      </w:tr>
      <w:tr w:rsidR="004121B0" w14:paraId="2BCF46E9" w14:textId="77777777">
        <w:trPr>
          <w:trHeight w:val="611"/>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434FC7B7" w14:textId="77777777" w:rsidR="004121B0" w:rsidRDefault="00016D35">
            <w:pPr>
              <w:ind w:left="29"/>
            </w:pPr>
            <w:r>
              <w:rPr>
                <w:rFonts w:ascii="Arial" w:eastAsia="Arial" w:hAnsi="Arial" w:cs="Arial"/>
                <w:sz w:val="19"/>
              </w:rPr>
              <w:t xml:space="preserve">Data rozpoczęcia </w:t>
            </w:r>
          </w:p>
        </w:tc>
        <w:tc>
          <w:tcPr>
            <w:tcW w:w="6999" w:type="dxa"/>
            <w:tcBorders>
              <w:top w:val="single" w:sz="6" w:space="0" w:color="000000"/>
              <w:left w:val="single" w:sz="6" w:space="0" w:color="000000"/>
              <w:bottom w:val="single" w:sz="6" w:space="0" w:color="000000"/>
              <w:right w:val="single" w:sz="6" w:space="0" w:color="000000"/>
            </w:tcBorders>
          </w:tcPr>
          <w:p w14:paraId="66AD9237" w14:textId="5402A918" w:rsidR="004121B0" w:rsidRDefault="004121B0">
            <w:pPr>
              <w:ind w:left="1"/>
            </w:pPr>
          </w:p>
        </w:tc>
      </w:tr>
      <w:tr w:rsidR="004121B0" w14:paraId="1C4A0913" w14:textId="77777777">
        <w:trPr>
          <w:trHeight w:val="744"/>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49E026F2" w14:textId="77777777" w:rsidR="004121B0" w:rsidRDefault="00016D35">
            <w:pPr>
              <w:ind w:left="29"/>
            </w:pPr>
            <w:r>
              <w:rPr>
                <w:rFonts w:ascii="Arial" w:eastAsia="Arial" w:hAnsi="Arial" w:cs="Arial"/>
                <w:sz w:val="19"/>
              </w:rPr>
              <w:t xml:space="preserve">Data wydania ostatecznego pozwolenia na użytkowanie </w:t>
            </w:r>
          </w:p>
        </w:tc>
        <w:tc>
          <w:tcPr>
            <w:tcW w:w="6999" w:type="dxa"/>
            <w:tcBorders>
              <w:top w:val="single" w:sz="6" w:space="0" w:color="000000"/>
              <w:left w:val="single" w:sz="6" w:space="0" w:color="000000"/>
              <w:bottom w:val="single" w:sz="6" w:space="0" w:color="000000"/>
              <w:right w:val="single" w:sz="6" w:space="0" w:color="000000"/>
            </w:tcBorders>
          </w:tcPr>
          <w:p w14:paraId="3742E4A3" w14:textId="641663BD" w:rsidR="004121B0" w:rsidRDefault="004121B0">
            <w:pPr>
              <w:ind w:left="1"/>
            </w:pPr>
          </w:p>
        </w:tc>
      </w:tr>
      <w:tr w:rsidR="004121B0" w14:paraId="0BAD1E92" w14:textId="77777777">
        <w:trPr>
          <w:trHeight w:val="1466"/>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CCCCCC"/>
          </w:tcPr>
          <w:p w14:paraId="5F4AD8CB" w14:textId="77777777" w:rsidR="004121B0" w:rsidRDefault="00016D35">
            <w:pPr>
              <w:spacing w:after="180"/>
              <w:ind w:left="29"/>
            </w:pPr>
            <w:r>
              <w:rPr>
                <w:rFonts w:ascii="Arial" w:eastAsia="Arial" w:hAnsi="Arial" w:cs="Arial"/>
                <w:b/>
                <w:sz w:val="19"/>
              </w:rPr>
              <w:t xml:space="preserve">OSTATNIE UKOŃCZONE PRZEDSIĘWZIĘCIE DEWELOPERSKIE </w:t>
            </w:r>
          </w:p>
          <w:p w14:paraId="25C18236" w14:textId="49FD472A" w:rsidR="004121B0" w:rsidRDefault="004121B0">
            <w:pPr>
              <w:ind w:left="29"/>
            </w:pPr>
          </w:p>
        </w:tc>
      </w:tr>
      <w:tr w:rsidR="004121B0" w14:paraId="70AB9A02" w14:textId="77777777">
        <w:trPr>
          <w:trHeight w:val="611"/>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0B7A8F6C" w14:textId="77777777" w:rsidR="004121B0" w:rsidRDefault="00016D35">
            <w:pPr>
              <w:ind w:left="29"/>
            </w:pPr>
            <w:r>
              <w:rPr>
                <w:rFonts w:ascii="Arial" w:eastAsia="Arial" w:hAnsi="Arial" w:cs="Arial"/>
                <w:sz w:val="19"/>
              </w:rPr>
              <w:t xml:space="preserve">Adres </w:t>
            </w:r>
          </w:p>
        </w:tc>
        <w:tc>
          <w:tcPr>
            <w:tcW w:w="6999" w:type="dxa"/>
            <w:tcBorders>
              <w:top w:val="single" w:sz="6" w:space="0" w:color="000000"/>
              <w:left w:val="single" w:sz="6" w:space="0" w:color="000000"/>
              <w:bottom w:val="single" w:sz="6" w:space="0" w:color="000000"/>
              <w:right w:val="single" w:sz="6" w:space="0" w:color="000000"/>
            </w:tcBorders>
          </w:tcPr>
          <w:p w14:paraId="77DCE78A" w14:textId="149FF99E" w:rsidR="004121B0" w:rsidRDefault="004121B0">
            <w:pPr>
              <w:ind w:left="1"/>
            </w:pPr>
          </w:p>
        </w:tc>
      </w:tr>
      <w:tr w:rsidR="004121B0" w14:paraId="20E61BFB" w14:textId="77777777">
        <w:trPr>
          <w:trHeight w:val="611"/>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024028C1" w14:textId="77777777" w:rsidR="004121B0" w:rsidRDefault="00016D35">
            <w:pPr>
              <w:ind w:left="29"/>
            </w:pPr>
            <w:r>
              <w:rPr>
                <w:rFonts w:ascii="Arial" w:eastAsia="Arial" w:hAnsi="Arial" w:cs="Arial"/>
                <w:sz w:val="19"/>
              </w:rPr>
              <w:t xml:space="preserve">Data rozpoczęcia </w:t>
            </w:r>
          </w:p>
        </w:tc>
        <w:tc>
          <w:tcPr>
            <w:tcW w:w="6999" w:type="dxa"/>
            <w:tcBorders>
              <w:top w:val="single" w:sz="6" w:space="0" w:color="000000"/>
              <w:left w:val="single" w:sz="6" w:space="0" w:color="000000"/>
              <w:bottom w:val="single" w:sz="6" w:space="0" w:color="000000"/>
              <w:right w:val="single" w:sz="6" w:space="0" w:color="000000"/>
            </w:tcBorders>
          </w:tcPr>
          <w:p w14:paraId="7268287C" w14:textId="5837D054" w:rsidR="004121B0" w:rsidRDefault="004121B0">
            <w:pPr>
              <w:ind w:left="1"/>
            </w:pPr>
          </w:p>
        </w:tc>
      </w:tr>
      <w:tr w:rsidR="004121B0" w14:paraId="51EBE0BA" w14:textId="77777777">
        <w:trPr>
          <w:trHeight w:val="742"/>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36CC2B33" w14:textId="77777777" w:rsidR="004121B0" w:rsidRDefault="00016D35">
            <w:pPr>
              <w:ind w:left="29"/>
            </w:pPr>
            <w:r>
              <w:rPr>
                <w:rFonts w:ascii="Arial" w:eastAsia="Arial" w:hAnsi="Arial" w:cs="Arial"/>
                <w:sz w:val="19"/>
              </w:rPr>
              <w:t xml:space="preserve">Data wydania ostatecznego pozwolenia na użytkowanie </w:t>
            </w:r>
          </w:p>
        </w:tc>
        <w:tc>
          <w:tcPr>
            <w:tcW w:w="6999" w:type="dxa"/>
            <w:tcBorders>
              <w:top w:val="single" w:sz="6" w:space="0" w:color="000000"/>
              <w:left w:val="single" w:sz="6" w:space="0" w:color="000000"/>
              <w:bottom w:val="single" w:sz="6" w:space="0" w:color="000000"/>
              <w:right w:val="single" w:sz="6" w:space="0" w:color="000000"/>
            </w:tcBorders>
          </w:tcPr>
          <w:p w14:paraId="51A21426" w14:textId="05C2F2E1" w:rsidR="004121B0" w:rsidRDefault="004121B0" w:rsidP="009E50D4"/>
        </w:tc>
      </w:tr>
    </w:tbl>
    <w:p w14:paraId="61192120" w14:textId="77777777" w:rsidR="004121B0" w:rsidRDefault="00016D35">
      <w:pPr>
        <w:spacing w:after="0"/>
        <w:ind w:left="103"/>
      </w:pPr>
      <w:r>
        <w:rPr>
          <w:rFonts w:ascii="Times New Roman" w:eastAsia="Times New Roman" w:hAnsi="Times New Roman" w:cs="Times New Roman"/>
          <w:sz w:val="20"/>
        </w:rPr>
        <w:t xml:space="preserve"> </w:t>
      </w:r>
    </w:p>
    <w:p w14:paraId="1C18B580" w14:textId="77777777" w:rsidR="004121B0" w:rsidRDefault="00016D35">
      <w:pPr>
        <w:spacing w:after="0"/>
        <w:ind w:left="103"/>
      </w:pPr>
      <w:r>
        <w:rPr>
          <w:rFonts w:ascii="Times New Roman" w:eastAsia="Times New Roman" w:hAnsi="Times New Roman" w:cs="Times New Roman"/>
          <w:sz w:val="20"/>
        </w:rPr>
        <w:t xml:space="preserve"> </w:t>
      </w:r>
    </w:p>
    <w:p w14:paraId="7AF7A00D" w14:textId="77777777" w:rsidR="004121B0" w:rsidRDefault="00016D35">
      <w:pPr>
        <w:spacing w:after="0"/>
        <w:ind w:left="103"/>
      </w:pPr>
      <w:r>
        <w:rPr>
          <w:rFonts w:ascii="Times New Roman" w:eastAsia="Times New Roman" w:hAnsi="Times New Roman" w:cs="Times New Roman"/>
          <w:sz w:val="20"/>
        </w:rPr>
        <w:t xml:space="preserve"> </w:t>
      </w:r>
    </w:p>
    <w:tbl>
      <w:tblPr>
        <w:tblStyle w:val="TableGrid"/>
        <w:tblW w:w="10205" w:type="dxa"/>
        <w:tblInd w:w="-8" w:type="dxa"/>
        <w:tblCellMar>
          <w:top w:w="54" w:type="dxa"/>
          <w:left w:w="40" w:type="dxa"/>
          <w:right w:w="115" w:type="dxa"/>
        </w:tblCellMar>
        <w:tblLook w:val="04A0" w:firstRow="1" w:lastRow="0" w:firstColumn="1" w:lastColumn="0" w:noHBand="0" w:noVBand="1"/>
      </w:tblPr>
      <w:tblGrid>
        <w:gridCol w:w="3218"/>
        <w:gridCol w:w="6987"/>
      </w:tblGrid>
      <w:tr w:rsidR="004121B0" w14:paraId="5F188D4C" w14:textId="77777777">
        <w:trPr>
          <w:trHeight w:val="1241"/>
        </w:trPr>
        <w:tc>
          <w:tcPr>
            <w:tcW w:w="3218"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08C4078A" w14:textId="77777777" w:rsidR="004121B0" w:rsidRDefault="00016D35">
            <w:pPr>
              <w:ind w:left="28"/>
            </w:pPr>
            <w:r>
              <w:rPr>
                <w:rFonts w:ascii="Arial" w:eastAsia="Arial" w:hAnsi="Arial" w:cs="Arial"/>
                <w:sz w:val="19"/>
              </w:rPr>
              <w:lastRenderedPageBreak/>
              <w:t xml:space="preserve">Czy przeciwko deweloperowi prowadzono (lub prowadzi się) postępowania egzekucyjne na kwotę powyżej 100 000 zł </w:t>
            </w:r>
          </w:p>
        </w:tc>
        <w:tc>
          <w:tcPr>
            <w:tcW w:w="6987" w:type="dxa"/>
            <w:tcBorders>
              <w:top w:val="single" w:sz="6" w:space="0" w:color="000000"/>
              <w:left w:val="single" w:sz="6" w:space="0" w:color="000000"/>
              <w:bottom w:val="single" w:sz="6" w:space="0" w:color="000000"/>
              <w:right w:val="single" w:sz="6" w:space="0" w:color="000000"/>
            </w:tcBorders>
          </w:tcPr>
          <w:p w14:paraId="6361F380" w14:textId="77777777" w:rsidR="004121B0" w:rsidRDefault="00016D35">
            <w:pPr>
              <w:spacing w:after="26"/>
            </w:pPr>
            <w:r>
              <w:rPr>
                <w:rFonts w:ascii="Arial" w:eastAsia="Arial" w:hAnsi="Arial" w:cs="Arial"/>
              </w:rPr>
              <w:t xml:space="preserve"> </w:t>
            </w:r>
          </w:p>
          <w:p w14:paraId="3FC76272" w14:textId="77777777" w:rsidR="004121B0" w:rsidRDefault="00016D35">
            <w:pPr>
              <w:ind w:left="75"/>
              <w:jc w:val="center"/>
            </w:pPr>
            <w:r>
              <w:rPr>
                <w:rFonts w:ascii="Arial" w:eastAsia="Arial" w:hAnsi="Arial" w:cs="Arial"/>
              </w:rPr>
              <w:t xml:space="preserve">NIE </w:t>
            </w:r>
          </w:p>
        </w:tc>
      </w:tr>
    </w:tbl>
    <w:p w14:paraId="4BF18D4D" w14:textId="77777777" w:rsidR="004121B0" w:rsidRDefault="00016D35">
      <w:pPr>
        <w:pStyle w:val="Nagwek1"/>
        <w:ind w:left="295" w:hanging="264"/>
      </w:pPr>
      <w:r>
        <w:t xml:space="preserve">INFORMACJE DOTYCZĄCE NIERUCHOMOŚCI I PRZEDSIĘWZIĘCIA DEWELOPERSKIEGO </w:t>
      </w:r>
    </w:p>
    <w:tbl>
      <w:tblPr>
        <w:tblStyle w:val="TableGrid"/>
        <w:tblW w:w="10198" w:type="dxa"/>
        <w:tblInd w:w="4" w:type="dxa"/>
        <w:tblCellMar>
          <w:top w:w="55" w:type="dxa"/>
          <w:left w:w="40" w:type="dxa"/>
          <w:right w:w="44" w:type="dxa"/>
        </w:tblCellMar>
        <w:tblLook w:val="04A0" w:firstRow="1" w:lastRow="0" w:firstColumn="1" w:lastColumn="0" w:noHBand="0" w:noVBand="1"/>
      </w:tblPr>
      <w:tblGrid>
        <w:gridCol w:w="3199"/>
        <w:gridCol w:w="3158"/>
        <w:gridCol w:w="343"/>
        <w:gridCol w:w="3498"/>
      </w:tblGrid>
      <w:tr w:rsidR="004121B0" w14:paraId="3B8E9CD2" w14:textId="77777777">
        <w:trPr>
          <w:trHeight w:val="757"/>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CCCCCC"/>
          </w:tcPr>
          <w:p w14:paraId="0CC6A402" w14:textId="77777777" w:rsidR="004121B0" w:rsidRDefault="00016D35">
            <w:pPr>
              <w:ind w:left="28"/>
            </w:pPr>
            <w:r>
              <w:rPr>
                <w:rFonts w:ascii="Arial" w:eastAsia="Arial" w:hAnsi="Arial" w:cs="Arial"/>
                <w:b/>
                <w:sz w:val="19"/>
              </w:rPr>
              <w:t xml:space="preserve">INFORMACJE DOTYCZĄCE GRUNTU </w:t>
            </w:r>
          </w:p>
        </w:tc>
      </w:tr>
      <w:tr w:rsidR="004121B0" w14:paraId="2A7C4755" w14:textId="77777777">
        <w:trPr>
          <w:trHeight w:val="914"/>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6922F1B0" w14:textId="77777777" w:rsidR="004121B0" w:rsidRDefault="00016D35">
            <w:pPr>
              <w:ind w:left="28"/>
            </w:pPr>
            <w:r>
              <w:rPr>
                <w:rFonts w:ascii="Arial" w:eastAsia="Arial" w:hAnsi="Arial" w:cs="Arial"/>
                <w:sz w:val="19"/>
              </w:rPr>
              <w:t>Adres i nr działki ewidencyjnej</w:t>
            </w:r>
            <w:r>
              <w:rPr>
                <w:rFonts w:ascii="Arial" w:eastAsia="Arial" w:hAnsi="Arial" w:cs="Arial"/>
                <w:sz w:val="19"/>
                <w:vertAlign w:val="superscript"/>
              </w:rPr>
              <w:t xml:space="preserve"> </w:t>
            </w:r>
            <w:r>
              <w:rPr>
                <w:rFonts w:ascii="Arial" w:eastAsia="Arial" w:hAnsi="Arial" w:cs="Arial"/>
                <w:sz w:val="19"/>
              </w:rPr>
              <w:t xml:space="preserve"> </w:t>
            </w:r>
          </w:p>
        </w:tc>
        <w:tc>
          <w:tcPr>
            <w:tcW w:w="6999" w:type="dxa"/>
            <w:gridSpan w:val="3"/>
            <w:tcBorders>
              <w:top w:val="single" w:sz="6" w:space="0" w:color="000000"/>
              <w:left w:val="single" w:sz="6" w:space="0" w:color="000000"/>
              <w:bottom w:val="single" w:sz="6" w:space="0" w:color="000000"/>
              <w:right w:val="single" w:sz="6" w:space="0" w:color="000000"/>
            </w:tcBorders>
          </w:tcPr>
          <w:p w14:paraId="7C9EDF20" w14:textId="77777777" w:rsidR="004121B0" w:rsidRDefault="00016D35">
            <w:pPr>
              <w:spacing w:after="55"/>
            </w:pPr>
            <w:r>
              <w:rPr>
                <w:rFonts w:ascii="Arial" w:eastAsia="Arial" w:hAnsi="Arial" w:cs="Arial"/>
              </w:rPr>
              <w:t xml:space="preserve">Dąbrowa Górnicza 41 -300, ul Graniczna  </w:t>
            </w:r>
          </w:p>
          <w:p w14:paraId="75E2C7EE" w14:textId="77777777" w:rsidR="004121B0" w:rsidRDefault="00016D35">
            <w:pPr>
              <w:spacing w:after="3"/>
            </w:pPr>
            <w:r>
              <w:rPr>
                <w:rFonts w:ascii="Arial" w:eastAsia="Arial" w:hAnsi="Arial" w:cs="Arial"/>
              </w:rPr>
              <w:t xml:space="preserve">Działka nr 5956 </w:t>
            </w:r>
            <w:r>
              <w:rPr>
                <w:rFonts w:ascii="Arial" w:eastAsia="Arial" w:hAnsi="Arial" w:cs="Arial"/>
                <w:sz w:val="24"/>
              </w:rPr>
              <w:t>obręb 0020, Dąbrowa Górnicza</w:t>
            </w:r>
            <w:r>
              <w:rPr>
                <w:rFonts w:ascii="Arial" w:eastAsia="Arial" w:hAnsi="Arial" w:cs="Arial"/>
              </w:rPr>
              <w:t xml:space="preserve"> </w:t>
            </w:r>
          </w:p>
          <w:p w14:paraId="181CF8AA" w14:textId="77777777" w:rsidR="004121B0" w:rsidRDefault="00016D35">
            <w:r>
              <w:rPr>
                <w:rFonts w:ascii="Arial" w:eastAsia="Arial" w:hAnsi="Arial" w:cs="Arial"/>
              </w:rPr>
              <w:t xml:space="preserve"> </w:t>
            </w:r>
          </w:p>
        </w:tc>
      </w:tr>
      <w:tr w:rsidR="004121B0" w14:paraId="7D7E3B85" w14:textId="77777777">
        <w:trPr>
          <w:trHeight w:val="460"/>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7CC95CD8" w14:textId="77777777" w:rsidR="004121B0" w:rsidRDefault="00016D35">
            <w:pPr>
              <w:ind w:left="28"/>
            </w:pPr>
            <w:r>
              <w:rPr>
                <w:rFonts w:ascii="Arial" w:eastAsia="Arial" w:hAnsi="Arial" w:cs="Arial"/>
                <w:sz w:val="19"/>
              </w:rPr>
              <w:t xml:space="preserve">Nr księgi wieczystej </w:t>
            </w:r>
          </w:p>
        </w:tc>
        <w:tc>
          <w:tcPr>
            <w:tcW w:w="6999" w:type="dxa"/>
            <w:gridSpan w:val="3"/>
            <w:tcBorders>
              <w:top w:val="single" w:sz="6" w:space="0" w:color="000000"/>
              <w:left w:val="single" w:sz="6" w:space="0" w:color="000000"/>
              <w:bottom w:val="single" w:sz="6" w:space="0" w:color="000000"/>
              <w:right w:val="single" w:sz="6" w:space="0" w:color="000000"/>
            </w:tcBorders>
          </w:tcPr>
          <w:p w14:paraId="53FBC9EC" w14:textId="77777777" w:rsidR="004121B0" w:rsidRDefault="00016D35">
            <w:r>
              <w:rPr>
                <w:rFonts w:ascii="Arial" w:eastAsia="Arial" w:hAnsi="Arial" w:cs="Arial"/>
              </w:rPr>
              <w:t xml:space="preserve">KA1D/00058726/1 </w:t>
            </w:r>
          </w:p>
        </w:tc>
      </w:tr>
      <w:tr w:rsidR="004121B0" w14:paraId="374EBE4C" w14:textId="77777777">
        <w:trPr>
          <w:trHeight w:val="1396"/>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6EBE66E2" w14:textId="77777777" w:rsidR="004121B0" w:rsidRDefault="00016D35">
            <w:pPr>
              <w:ind w:left="28" w:right="53"/>
              <w:jc w:val="both"/>
            </w:pPr>
            <w:r>
              <w:rPr>
                <w:rFonts w:ascii="Arial" w:eastAsia="Arial" w:hAnsi="Arial" w:cs="Arial"/>
                <w:sz w:val="19"/>
              </w:rPr>
              <w:t xml:space="preserve">Istniejące obciążenia hipoteczne nieruchomości lub wnioski o wpis w dziale czwartym księgi wieczystej </w:t>
            </w:r>
          </w:p>
        </w:tc>
        <w:tc>
          <w:tcPr>
            <w:tcW w:w="6999" w:type="dxa"/>
            <w:gridSpan w:val="3"/>
            <w:tcBorders>
              <w:top w:val="single" w:sz="6" w:space="0" w:color="000000"/>
              <w:left w:val="single" w:sz="6" w:space="0" w:color="000000"/>
              <w:bottom w:val="single" w:sz="6" w:space="0" w:color="000000"/>
              <w:right w:val="single" w:sz="6" w:space="0" w:color="000000"/>
            </w:tcBorders>
          </w:tcPr>
          <w:p w14:paraId="25DA006B" w14:textId="22EC5CEF" w:rsidR="004121B0" w:rsidRDefault="00016D35">
            <w:pPr>
              <w:jc w:val="both"/>
            </w:pPr>
            <w:r>
              <w:rPr>
                <w:rFonts w:ascii="Arial" w:eastAsia="Arial" w:hAnsi="Arial" w:cs="Arial"/>
                <w:sz w:val="24"/>
              </w:rPr>
              <w:t xml:space="preserve"> </w:t>
            </w:r>
          </w:p>
        </w:tc>
      </w:tr>
      <w:tr w:rsidR="004121B0" w14:paraId="2CF7969D" w14:textId="77777777">
        <w:trPr>
          <w:trHeight w:val="1133"/>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62E730A4" w14:textId="77777777" w:rsidR="004121B0" w:rsidRDefault="00016D35">
            <w:pPr>
              <w:ind w:left="28" w:right="47"/>
              <w:jc w:val="both"/>
            </w:pPr>
            <w:r>
              <w:rPr>
                <w:rFonts w:ascii="Arial" w:eastAsia="Arial" w:hAnsi="Arial" w:cs="Arial"/>
                <w:sz w:val="19"/>
              </w:rPr>
              <w:t>W przypadku braku księgi wieczystej informacja o powierzchni działki i stanie prawnym nieruchomości</w:t>
            </w:r>
            <w:r>
              <w:rPr>
                <w:rFonts w:ascii="Arial" w:eastAsia="Arial" w:hAnsi="Arial" w:cs="Arial"/>
                <w:sz w:val="19"/>
                <w:vertAlign w:val="superscript"/>
              </w:rPr>
              <w:t xml:space="preserve"> </w:t>
            </w:r>
            <w:r>
              <w:rPr>
                <w:rFonts w:ascii="Arial" w:eastAsia="Arial" w:hAnsi="Arial" w:cs="Arial"/>
                <w:sz w:val="19"/>
              </w:rPr>
              <w:t xml:space="preserve"> </w:t>
            </w:r>
          </w:p>
        </w:tc>
        <w:tc>
          <w:tcPr>
            <w:tcW w:w="6999" w:type="dxa"/>
            <w:gridSpan w:val="3"/>
            <w:tcBorders>
              <w:top w:val="single" w:sz="6" w:space="0" w:color="000000"/>
              <w:left w:val="single" w:sz="6" w:space="0" w:color="000000"/>
              <w:bottom w:val="single" w:sz="6" w:space="0" w:color="000000"/>
              <w:right w:val="single" w:sz="6" w:space="0" w:color="000000"/>
            </w:tcBorders>
          </w:tcPr>
          <w:p w14:paraId="5A41E4E9" w14:textId="77777777" w:rsidR="004121B0" w:rsidRDefault="00016D35">
            <w:r>
              <w:rPr>
                <w:rFonts w:ascii="Arial" w:eastAsia="Arial" w:hAnsi="Arial" w:cs="Arial"/>
              </w:rPr>
              <w:t xml:space="preserve">NIE DOTYCZY  </w:t>
            </w:r>
          </w:p>
        </w:tc>
      </w:tr>
      <w:tr w:rsidR="004121B0" w14:paraId="37C61080" w14:textId="77777777">
        <w:trPr>
          <w:trHeight w:val="1963"/>
        </w:trPr>
        <w:tc>
          <w:tcPr>
            <w:tcW w:w="3199" w:type="dxa"/>
            <w:vMerge w:val="restart"/>
            <w:tcBorders>
              <w:top w:val="single" w:sz="6" w:space="0" w:color="000000"/>
              <w:left w:val="single" w:sz="6" w:space="0" w:color="000000"/>
              <w:bottom w:val="single" w:sz="6" w:space="0" w:color="000000"/>
              <w:right w:val="single" w:sz="6" w:space="0" w:color="000000"/>
            </w:tcBorders>
            <w:shd w:val="clear" w:color="auto" w:fill="E0E0E0"/>
          </w:tcPr>
          <w:p w14:paraId="3159C1F4" w14:textId="77777777" w:rsidR="004121B0" w:rsidRDefault="00016D35">
            <w:pPr>
              <w:ind w:left="28"/>
              <w:jc w:val="both"/>
            </w:pPr>
            <w:r>
              <w:rPr>
                <w:rFonts w:ascii="Arial" w:eastAsia="Arial" w:hAnsi="Arial" w:cs="Arial"/>
                <w:sz w:val="19"/>
              </w:rPr>
              <w:t>Plan zagospodarowania przestrzennego dla sąsiadujących działek</w:t>
            </w:r>
            <w:r>
              <w:rPr>
                <w:rFonts w:ascii="Arial" w:eastAsia="Arial" w:hAnsi="Arial" w:cs="Arial"/>
                <w:sz w:val="19"/>
                <w:vertAlign w:val="superscript"/>
              </w:rPr>
              <w:t xml:space="preserve"> </w:t>
            </w:r>
            <w:r>
              <w:rPr>
                <w:rFonts w:ascii="Arial" w:eastAsia="Arial" w:hAnsi="Arial" w:cs="Arial"/>
                <w:sz w:val="19"/>
              </w:rPr>
              <w:t xml:space="preserve"> </w:t>
            </w:r>
          </w:p>
        </w:tc>
        <w:tc>
          <w:tcPr>
            <w:tcW w:w="3158" w:type="dxa"/>
            <w:tcBorders>
              <w:top w:val="single" w:sz="6" w:space="0" w:color="000000"/>
              <w:left w:val="single" w:sz="6" w:space="0" w:color="000000"/>
              <w:bottom w:val="single" w:sz="6" w:space="0" w:color="000000"/>
              <w:right w:val="single" w:sz="4" w:space="0" w:color="000000"/>
            </w:tcBorders>
          </w:tcPr>
          <w:p w14:paraId="5B727AF7" w14:textId="77777777" w:rsidR="004121B0" w:rsidRDefault="00016D35">
            <w:pPr>
              <w:ind w:left="29"/>
            </w:pPr>
            <w:r>
              <w:rPr>
                <w:rFonts w:ascii="Arial" w:eastAsia="Arial" w:hAnsi="Arial" w:cs="Arial"/>
                <w:sz w:val="19"/>
              </w:rPr>
              <w:t xml:space="preserve">przeznaczenie w planie </w:t>
            </w:r>
          </w:p>
        </w:tc>
        <w:tc>
          <w:tcPr>
            <w:tcW w:w="3841" w:type="dxa"/>
            <w:gridSpan w:val="2"/>
            <w:tcBorders>
              <w:top w:val="single" w:sz="6" w:space="0" w:color="000000"/>
              <w:left w:val="single" w:sz="4" w:space="0" w:color="000000"/>
              <w:bottom w:val="single" w:sz="6" w:space="0" w:color="000000"/>
              <w:right w:val="single" w:sz="6" w:space="0" w:color="000000"/>
            </w:tcBorders>
          </w:tcPr>
          <w:p w14:paraId="51E440F4" w14:textId="77777777" w:rsidR="004121B0" w:rsidRDefault="00016D35">
            <w:pPr>
              <w:spacing w:after="28"/>
              <w:ind w:left="1"/>
            </w:pPr>
            <w:r>
              <w:rPr>
                <w:rFonts w:ascii="Arial" w:eastAsia="Arial" w:hAnsi="Arial" w:cs="Arial"/>
              </w:rPr>
              <w:t xml:space="preserve">Tereny zabudowy:  </w:t>
            </w:r>
          </w:p>
          <w:p w14:paraId="3C9CA7B5" w14:textId="77777777" w:rsidR="004121B0" w:rsidRDefault="00016D35">
            <w:pPr>
              <w:spacing w:after="4" w:line="254" w:lineRule="auto"/>
              <w:ind w:left="1"/>
            </w:pPr>
            <w:r>
              <w:rPr>
                <w:rFonts w:ascii="Arial" w:eastAsia="Arial" w:hAnsi="Arial" w:cs="Arial"/>
              </w:rPr>
              <w:t xml:space="preserve">01MW – mieszkaniowej wielorodzinnej  </w:t>
            </w:r>
          </w:p>
          <w:p w14:paraId="60DAA724" w14:textId="77777777" w:rsidR="004121B0" w:rsidRDefault="00016D35">
            <w:pPr>
              <w:spacing w:after="39"/>
              <w:ind w:left="1"/>
            </w:pPr>
            <w:r>
              <w:rPr>
                <w:rFonts w:ascii="Arial" w:eastAsia="Arial" w:hAnsi="Arial" w:cs="Arial"/>
              </w:rPr>
              <w:t xml:space="preserve">02 MM – mieszkaniowej,  </w:t>
            </w:r>
          </w:p>
          <w:p w14:paraId="3F4AE87E" w14:textId="77777777" w:rsidR="004121B0" w:rsidRDefault="00016D35">
            <w:pPr>
              <w:ind w:left="1" w:right="283"/>
              <w:jc w:val="both"/>
            </w:pPr>
            <w:r>
              <w:rPr>
                <w:rFonts w:ascii="Arial" w:eastAsia="Arial" w:hAnsi="Arial" w:cs="Arial"/>
              </w:rPr>
              <w:t>02 MMU</w:t>
            </w:r>
            <w:r>
              <w:rPr>
                <w:rFonts w:ascii="Times New Roman" w:eastAsia="Times New Roman" w:hAnsi="Times New Roman" w:cs="Times New Roman"/>
                <w:sz w:val="20"/>
              </w:rPr>
              <w:t xml:space="preserve"> – mieszkaniowej i usługowej,</w:t>
            </w:r>
            <w:r>
              <w:rPr>
                <w:rFonts w:ascii="Arial" w:eastAsia="Arial" w:hAnsi="Arial" w:cs="Arial"/>
              </w:rPr>
              <w:t xml:space="preserve"> 01 MWU </w:t>
            </w:r>
            <w:r>
              <w:rPr>
                <w:rFonts w:ascii="Times New Roman" w:eastAsia="Times New Roman" w:hAnsi="Times New Roman" w:cs="Times New Roman"/>
                <w:sz w:val="20"/>
              </w:rPr>
              <w:t>mieszkaniowej wielorodzinnej i usługowej,</w:t>
            </w:r>
            <w:r>
              <w:rPr>
                <w:rFonts w:ascii="Arial" w:eastAsia="Arial" w:hAnsi="Arial" w:cs="Arial"/>
              </w:rPr>
              <w:t xml:space="preserve"> </w:t>
            </w:r>
          </w:p>
        </w:tc>
      </w:tr>
      <w:tr w:rsidR="004121B0" w14:paraId="6A541B0E" w14:textId="77777777">
        <w:trPr>
          <w:trHeight w:val="1126"/>
        </w:trPr>
        <w:tc>
          <w:tcPr>
            <w:tcW w:w="0" w:type="auto"/>
            <w:vMerge/>
            <w:tcBorders>
              <w:top w:val="nil"/>
              <w:left w:val="single" w:sz="6" w:space="0" w:color="000000"/>
              <w:bottom w:val="nil"/>
              <w:right w:val="single" w:sz="6" w:space="0" w:color="000000"/>
            </w:tcBorders>
          </w:tcPr>
          <w:p w14:paraId="4473D977" w14:textId="77777777" w:rsidR="004121B0" w:rsidRDefault="004121B0"/>
        </w:tc>
        <w:tc>
          <w:tcPr>
            <w:tcW w:w="3158" w:type="dxa"/>
            <w:tcBorders>
              <w:top w:val="single" w:sz="6" w:space="0" w:color="000000"/>
              <w:left w:val="single" w:sz="6" w:space="0" w:color="000000"/>
              <w:bottom w:val="single" w:sz="6" w:space="0" w:color="000000"/>
              <w:right w:val="single" w:sz="4" w:space="0" w:color="000000"/>
            </w:tcBorders>
          </w:tcPr>
          <w:p w14:paraId="2B6A7157" w14:textId="77777777" w:rsidR="004121B0" w:rsidRDefault="00016D35">
            <w:pPr>
              <w:ind w:left="29"/>
              <w:jc w:val="both"/>
            </w:pPr>
            <w:r>
              <w:rPr>
                <w:rFonts w:ascii="Arial" w:eastAsia="Arial" w:hAnsi="Arial" w:cs="Arial"/>
                <w:sz w:val="19"/>
              </w:rPr>
              <w:t xml:space="preserve">dopuszczalna wysokość zabudowy </w:t>
            </w:r>
          </w:p>
        </w:tc>
        <w:tc>
          <w:tcPr>
            <w:tcW w:w="3841" w:type="dxa"/>
            <w:gridSpan w:val="2"/>
            <w:tcBorders>
              <w:top w:val="single" w:sz="6" w:space="0" w:color="000000"/>
              <w:left w:val="single" w:sz="4" w:space="0" w:color="000000"/>
              <w:bottom w:val="single" w:sz="6" w:space="0" w:color="000000"/>
              <w:right w:val="single" w:sz="6" w:space="0" w:color="000000"/>
            </w:tcBorders>
          </w:tcPr>
          <w:p w14:paraId="2D8AD88B" w14:textId="77777777" w:rsidR="004121B0" w:rsidRDefault="00016D35">
            <w:pPr>
              <w:ind w:left="1"/>
            </w:pPr>
            <w:r>
              <w:rPr>
                <w:rFonts w:ascii="Arial" w:eastAsia="Arial" w:hAnsi="Arial" w:cs="Arial"/>
              </w:rPr>
              <w:t xml:space="preserve">Dla MW – 9 kondygnacji (30m) </w:t>
            </w:r>
          </w:p>
          <w:p w14:paraId="42A22057" w14:textId="77777777" w:rsidR="004121B0" w:rsidRDefault="00016D35">
            <w:pPr>
              <w:ind w:left="1"/>
            </w:pPr>
            <w:r>
              <w:rPr>
                <w:rFonts w:ascii="Arial" w:eastAsia="Arial" w:hAnsi="Arial" w:cs="Arial"/>
              </w:rPr>
              <w:t xml:space="preserve">Dla MM – 4 kondygnacje (15m) </w:t>
            </w:r>
          </w:p>
          <w:p w14:paraId="60BF8D42" w14:textId="77777777" w:rsidR="004121B0" w:rsidRDefault="00016D35">
            <w:pPr>
              <w:ind w:left="1"/>
            </w:pPr>
            <w:r>
              <w:rPr>
                <w:rFonts w:ascii="Arial" w:eastAsia="Arial" w:hAnsi="Arial" w:cs="Arial"/>
              </w:rPr>
              <w:t xml:space="preserve">Dla MMU   4 kondygnacje (15m) </w:t>
            </w:r>
          </w:p>
          <w:p w14:paraId="2F9B0D25" w14:textId="77777777" w:rsidR="004121B0" w:rsidRDefault="00016D35">
            <w:pPr>
              <w:ind w:left="1"/>
            </w:pPr>
            <w:r>
              <w:rPr>
                <w:rFonts w:ascii="Arial" w:eastAsia="Arial" w:hAnsi="Arial" w:cs="Arial"/>
              </w:rPr>
              <w:t xml:space="preserve">Dla MWU  9 kondygnacji (30m) </w:t>
            </w:r>
          </w:p>
        </w:tc>
      </w:tr>
      <w:tr w:rsidR="004121B0" w14:paraId="188CD59F" w14:textId="77777777">
        <w:trPr>
          <w:trHeight w:val="1126"/>
        </w:trPr>
        <w:tc>
          <w:tcPr>
            <w:tcW w:w="0" w:type="auto"/>
            <w:vMerge/>
            <w:tcBorders>
              <w:top w:val="nil"/>
              <w:left w:val="single" w:sz="6" w:space="0" w:color="000000"/>
              <w:bottom w:val="single" w:sz="6" w:space="0" w:color="000000"/>
              <w:right w:val="single" w:sz="6" w:space="0" w:color="000000"/>
            </w:tcBorders>
          </w:tcPr>
          <w:p w14:paraId="379EE764" w14:textId="77777777" w:rsidR="004121B0" w:rsidRDefault="004121B0"/>
        </w:tc>
        <w:tc>
          <w:tcPr>
            <w:tcW w:w="3158" w:type="dxa"/>
            <w:tcBorders>
              <w:top w:val="single" w:sz="6" w:space="0" w:color="000000"/>
              <w:left w:val="single" w:sz="6" w:space="0" w:color="000000"/>
              <w:bottom w:val="single" w:sz="6" w:space="0" w:color="000000"/>
              <w:right w:val="single" w:sz="4" w:space="0" w:color="000000"/>
            </w:tcBorders>
          </w:tcPr>
          <w:p w14:paraId="661FB21B" w14:textId="77777777" w:rsidR="004121B0" w:rsidRDefault="00016D35">
            <w:pPr>
              <w:ind w:left="29"/>
            </w:pPr>
            <w:r>
              <w:rPr>
                <w:rFonts w:ascii="Arial" w:eastAsia="Arial" w:hAnsi="Arial" w:cs="Arial"/>
                <w:sz w:val="19"/>
              </w:rPr>
              <w:t xml:space="preserve">dopuszczalny procent zabudowy działki </w:t>
            </w:r>
          </w:p>
        </w:tc>
        <w:tc>
          <w:tcPr>
            <w:tcW w:w="3841" w:type="dxa"/>
            <w:gridSpan w:val="2"/>
            <w:tcBorders>
              <w:top w:val="single" w:sz="6" w:space="0" w:color="000000"/>
              <w:left w:val="single" w:sz="4" w:space="0" w:color="000000"/>
              <w:bottom w:val="single" w:sz="6" w:space="0" w:color="000000"/>
              <w:right w:val="single" w:sz="6" w:space="0" w:color="000000"/>
            </w:tcBorders>
          </w:tcPr>
          <w:p w14:paraId="69009A49" w14:textId="77777777" w:rsidR="004121B0" w:rsidRDefault="00016D35">
            <w:pPr>
              <w:ind w:left="1"/>
            </w:pPr>
            <w:r>
              <w:rPr>
                <w:rFonts w:ascii="Arial" w:eastAsia="Arial" w:hAnsi="Arial" w:cs="Arial"/>
              </w:rPr>
              <w:t xml:space="preserve">Dla MW – 0,35   </w:t>
            </w:r>
          </w:p>
          <w:p w14:paraId="572BD29C" w14:textId="77777777" w:rsidR="004121B0" w:rsidRDefault="00016D35">
            <w:pPr>
              <w:ind w:left="1"/>
            </w:pPr>
            <w:r>
              <w:rPr>
                <w:rFonts w:ascii="Arial" w:eastAsia="Arial" w:hAnsi="Arial" w:cs="Arial"/>
              </w:rPr>
              <w:t xml:space="preserve">Dla MM – 0,40   </w:t>
            </w:r>
          </w:p>
          <w:p w14:paraId="473BA0AF" w14:textId="77777777" w:rsidR="004121B0" w:rsidRDefault="00016D35">
            <w:pPr>
              <w:ind w:left="1"/>
            </w:pPr>
            <w:r>
              <w:rPr>
                <w:rFonts w:ascii="Arial" w:eastAsia="Arial" w:hAnsi="Arial" w:cs="Arial"/>
              </w:rPr>
              <w:t>Dla MMU – 0,50</w:t>
            </w:r>
            <w:r>
              <w:rPr>
                <w:rFonts w:ascii="Times New Roman" w:eastAsia="Times New Roman" w:hAnsi="Times New Roman" w:cs="Times New Roman"/>
                <w:sz w:val="20"/>
              </w:rPr>
              <w:t xml:space="preserve"> </w:t>
            </w:r>
            <w:r>
              <w:rPr>
                <w:rFonts w:ascii="Arial" w:eastAsia="Arial" w:hAnsi="Arial" w:cs="Arial"/>
              </w:rPr>
              <w:t xml:space="preserve"> </w:t>
            </w:r>
          </w:p>
          <w:p w14:paraId="559036A2" w14:textId="77777777" w:rsidR="004121B0" w:rsidRDefault="00016D35">
            <w:pPr>
              <w:ind w:left="1"/>
            </w:pPr>
            <w:r>
              <w:rPr>
                <w:rFonts w:ascii="Arial" w:eastAsia="Arial" w:hAnsi="Arial" w:cs="Arial"/>
              </w:rPr>
              <w:t xml:space="preserve">Dla </w:t>
            </w:r>
            <w:proofErr w:type="gramStart"/>
            <w:r>
              <w:rPr>
                <w:rFonts w:ascii="Arial" w:eastAsia="Arial" w:hAnsi="Arial" w:cs="Arial"/>
              </w:rPr>
              <w:t>MWU  -</w:t>
            </w:r>
            <w:proofErr w:type="gramEnd"/>
            <w:r>
              <w:rPr>
                <w:rFonts w:ascii="Arial" w:eastAsia="Arial" w:hAnsi="Arial" w:cs="Arial"/>
              </w:rPr>
              <w:t xml:space="preserve"> 0,50  </w:t>
            </w:r>
          </w:p>
        </w:tc>
      </w:tr>
      <w:tr w:rsidR="004121B0" w14:paraId="3D34DAB6" w14:textId="77777777">
        <w:trPr>
          <w:trHeight w:val="3509"/>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6DEBF665" w14:textId="77777777" w:rsidR="004121B0" w:rsidRDefault="00016D35">
            <w:pPr>
              <w:ind w:left="28" w:right="47"/>
              <w:jc w:val="both"/>
            </w:pPr>
            <w:r>
              <w:rPr>
                <w:rFonts w:ascii="Arial" w:eastAsia="Arial" w:hAnsi="Arial" w:cs="Arial"/>
                <w:sz w:val="19"/>
              </w:rPr>
              <w:lastRenderedPageBreak/>
              <w:t xml:space="preserve">Informacje zawarte w publicznie dostępnych dokumentach dotyczących przewidzianych inwestycji w promieniu 1 km od przedmiotowej nieruchomości, w szczególności o budowie lub rozbudowie dróg, budowie linii szynowych oraz przewidzianych korytarzach powietrznych, a także znanych innych inwestycjach komunalnych, w szczególności oczyszczalniach ścieków, spalarniach śmieci, wysypiskach, cmentarzach </w:t>
            </w:r>
          </w:p>
        </w:tc>
        <w:tc>
          <w:tcPr>
            <w:tcW w:w="6999" w:type="dxa"/>
            <w:gridSpan w:val="3"/>
            <w:tcBorders>
              <w:top w:val="single" w:sz="6" w:space="0" w:color="000000"/>
              <w:left w:val="single" w:sz="6" w:space="0" w:color="000000"/>
              <w:bottom w:val="single" w:sz="6" w:space="0" w:color="000000"/>
              <w:right w:val="single" w:sz="6" w:space="0" w:color="000000"/>
            </w:tcBorders>
          </w:tcPr>
          <w:p w14:paraId="7ED982FB" w14:textId="5E2C14D4" w:rsidR="004121B0" w:rsidRDefault="004121B0">
            <w:pPr>
              <w:spacing w:after="26"/>
            </w:pPr>
          </w:p>
          <w:p w14:paraId="7982DE20" w14:textId="77777777" w:rsidR="004121B0" w:rsidRDefault="00016D35">
            <w:pPr>
              <w:spacing w:after="26"/>
            </w:pPr>
            <w:r>
              <w:rPr>
                <w:rFonts w:ascii="Arial" w:eastAsia="Arial" w:hAnsi="Arial" w:cs="Arial"/>
              </w:rPr>
              <w:t xml:space="preserve"> </w:t>
            </w:r>
          </w:p>
          <w:p w14:paraId="2C907713" w14:textId="77777777" w:rsidR="004121B0" w:rsidRDefault="00016D35">
            <w:r>
              <w:rPr>
                <w:rFonts w:ascii="Arial" w:eastAsia="Arial" w:hAnsi="Arial" w:cs="Arial"/>
              </w:rPr>
              <w:t xml:space="preserve"> </w:t>
            </w:r>
          </w:p>
        </w:tc>
      </w:tr>
      <w:tr w:rsidR="004121B0" w14:paraId="24CD6CD4" w14:textId="77777777">
        <w:trPr>
          <w:trHeight w:val="727"/>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CCCCCC"/>
          </w:tcPr>
          <w:p w14:paraId="2FB7448C" w14:textId="77777777" w:rsidR="004121B0" w:rsidRDefault="00016D35">
            <w:pPr>
              <w:ind w:left="28"/>
            </w:pPr>
            <w:r>
              <w:rPr>
                <w:rFonts w:ascii="Arial" w:eastAsia="Arial" w:hAnsi="Arial" w:cs="Arial"/>
                <w:b/>
                <w:sz w:val="19"/>
              </w:rPr>
              <w:t xml:space="preserve">INFORMACJE DOTYCZĄCE BUDYNKU </w:t>
            </w:r>
          </w:p>
        </w:tc>
      </w:tr>
      <w:tr w:rsidR="004121B0" w14:paraId="744AD870" w14:textId="77777777">
        <w:trPr>
          <w:trHeight w:val="745"/>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77D4BCCE" w14:textId="77777777" w:rsidR="004121B0" w:rsidRDefault="00016D35">
            <w:pPr>
              <w:ind w:left="28"/>
            </w:pPr>
            <w:r>
              <w:rPr>
                <w:rFonts w:ascii="Arial" w:eastAsia="Arial" w:hAnsi="Arial" w:cs="Arial"/>
                <w:sz w:val="19"/>
              </w:rPr>
              <w:t xml:space="preserve">Czy jest pozwolenie na budowę </w:t>
            </w:r>
          </w:p>
        </w:tc>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375C2917" w14:textId="77777777" w:rsidR="004121B0" w:rsidRDefault="00016D35">
            <w:pPr>
              <w:ind w:left="2"/>
              <w:jc w:val="center"/>
            </w:pPr>
            <w:r>
              <w:rPr>
                <w:rFonts w:ascii="Arial" w:eastAsia="Arial" w:hAnsi="Arial" w:cs="Arial"/>
                <w:sz w:val="19"/>
              </w:rPr>
              <w:t xml:space="preserve">tak*  </w:t>
            </w:r>
          </w:p>
        </w:tc>
        <w:tc>
          <w:tcPr>
            <w:tcW w:w="3498" w:type="dxa"/>
            <w:tcBorders>
              <w:top w:val="single" w:sz="6" w:space="0" w:color="000000"/>
              <w:left w:val="single" w:sz="6" w:space="0" w:color="000000"/>
              <w:bottom w:val="single" w:sz="6" w:space="0" w:color="000000"/>
              <w:right w:val="single" w:sz="6" w:space="0" w:color="000000"/>
            </w:tcBorders>
            <w:vAlign w:val="center"/>
          </w:tcPr>
          <w:p w14:paraId="65A133BD" w14:textId="77777777" w:rsidR="004121B0" w:rsidRDefault="00016D35">
            <w:pPr>
              <w:ind w:left="3"/>
              <w:jc w:val="center"/>
            </w:pPr>
            <w:r>
              <w:rPr>
                <w:rFonts w:ascii="Arial" w:eastAsia="Arial" w:hAnsi="Arial" w:cs="Arial"/>
                <w:strike/>
                <w:sz w:val="19"/>
              </w:rPr>
              <w:t>nie</w:t>
            </w:r>
            <w:r>
              <w:rPr>
                <w:rFonts w:ascii="Arial" w:eastAsia="Arial" w:hAnsi="Arial" w:cs="Arial"/>
                <w:sz w:val="19"/>
              </w:rPr>
              <w:t>*</w:t>
            </w:r>
            <w:r>
              <w:rPr>
                <w:rFonts w:ascii="Courier New" w:eastAsia="Courier New" w:hAnsi="Courier New" w:cs="Courier New"/>
              </w:rPr>
              <w:t xml:space="preserve"> </w:t>
            </w:r>
          </w:p>
        </w:tc>
      </w:tr>
    </w:tbl>
    <w:p w14:paraId="765E2769" w14:textId="77777777" w:rsidR="004121B0" w:rsidRDefault="00016D35">
      <w:pPr>
        <w:spacing w:after="0"/>
        <w:ind w:left="103"/>
      </w:pPr>
      <w:r>
        <w:rPr>
          <w:noProof/>
        </w:rPr>
        <mc:AlternateContent>
          <mc:Choice Requires="wpg">
            <w:drawing>
              <wp:inline distT="0" distB="0" distL="0" distR="0" wp14:anchorId="5AB9FCF2" wp14:editId="2C29C2B5">
                <wp:extent cx="1829435" cy="6096"/>
                <wp:effectExtent l="0" t="0" r="0" b="0"/>
                <wp:docPr id="25091" name="Group 25091"/>
                <wp:cNvGraphicFramePr/>
                <a:graphic xmlns:a="http://schemas.openxmlformats.org/drawingml/2006/main">
                  <a:graphicData uri="http://schemas.microsoft.com/office/word/2010/wordprocessingGroup">
                    <wpg:wgp>
                      <wpg:cNvGrpSpPr/>
                      <wpg:grpSpPr>
                        <a:xfrm>
                          <a:off x="0" y="0"/>
                          <a:ext cx="1829435" cy="6096"/>
                          <a:chOff x="0" y="0"/>
                          <a:chExt cx="1829435" cy="6096"/>
                        </a:xfrm>
                      </wpg:grpSpPr>
                      <wps:wsp>
                        <wps:cNvPr id="26502" name="Shape 2650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91" style="width:144.05pt;height:0.47998pt;mso-position-horizontal-relative:char;mso-position-vertical-relative:line" coordsize="18294,60">
                <v:shape id="Shape 26503"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 xml:space="preserve"> </w:t>
      </w:r>
    </w:p>
    <w:p w14:paraId="151AE88C" w14:textId="77777777" w:rsidR="004121B0" w:rsidRDefault="00016D35">
      <w:pPr>
        <w:spacing w:after="0"/>
        <w:ind w:left="103"/>
      </w:pPr>
      <w:r>
        <w:rPr>
          <w:rFonts w:ascii="Arial" w:eastAsia="Arial" w:hAnsi="Arial" w:cs="Arial"/>
          <w:sz w:val="17"/>
        </w:rPr>
        <w:t xml:space="preserve">* Niepotrzebne skreślić (kliknąć dwukrotnie na tekst). </w:t>
      </w:r>
    </w:p>
    <w:p w14:paraId="44581102" w14:textId="77777777" w:rsidR="004121B0" w:rsidRDefault="004121B0">
      <w:pPr>
        <w:spacing w:after="0"/>
        <w:ind w:left="-974" w:right="21"/>
        <w:jc w:val="both"/>
      </w:pPr>
    </w:p>
    <w:tbl>
      <w:tblPr>
        <w:tblStyle w:val="TableGrid"/>
        <w:tblW w:w="10200" w:type="dxa"/>
        <w:tblInd w:w="4" w:type="dxa"/>
        <w:tblCellMar>
          <w:top w:w="32" w:type="dxa"/>
          <w:left w:w="40" w:type="dxa"/>
          <w:bottom w:w="12" w:type="dxa"/>
        </w:tblCellMar>
        <w:tblLook w:val="04A0" w:firstRow="1" w:lastRow="0" w:firstColumn="1" w:lastColumn="0" w:noHBand="0" w:noVBand="1"/>
      </w:tblPr>
      <w:tblGrid>
        <w:gridCol w:w="3199"/>
        <w:gridCol w:w="3158"/>
        <w:gridCol w:w="343"/>
        <w:gridCol w:w="1580"/>
        <w:gridCol w:w="1920"/>
      </w:tblGrid>
      <w:tr w:rsidR="004121B0" w14:paraId="0DAC8FBD" w14:textId="77777777">
        <w:trPr>
          <w:trHeight w:val="642"/>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019164E1" w14:textId="77777777" w:rsidR="004121B0" w:rsidRDefault="00016D35">
            <w:pPr>
              <w:ind w:left="28"/>
            </w:pPr>
            <w:r>
              <w:rPr>
                <w:rFonts w:ascii="Arial" w:eastAsia="Arial" w:hAnsi="Arial" w:cs="Arial"/>
                <w:sz w:val="19"/>
              </w:rPr>
              <w:t xml:space="preserve">Czy pozwolenie na budowę jest ostateczne </w:t>
            </w:r>
          </w:p>
        </w:tc>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41D7B579" w14:textId="77777777" w:rsidR="004121B0" w:rsidRDefault="00016D35">
            <w:pPr>
              <w:ind w:right="42"/>
              <w:jc w:val="center"/>
            </w:pPr>
            <w:r>
              <w:rPr>
                <w:rFonts w:ascii="Arial" w:eastAsia="Arial" w:hAnsi="Arial" w:cs="Arial"/>
                <w:sz w:val="19"/>
              </w:rPr>
              <w:t xml:space="preserve">tak* </w:t>
            </w:r>
          </w:p>
        </w:tc>
        <w:tc>
          <w:tcPr>
            <w:tcW w:w="3500" w:type="dxa"/>
            <w:gridSpan w:val="2"/>
            <w:tcBorders>
              <w:top w:val="single" w:sz="6" w:space="0" w:color="000000"/>
              <w:left w:val="single" w:sz="6" w:space="0" w:color="000000"/>
              <w:bottom w:val="single" w:sz="6" w:space="0" w:color="000000"/>
              <w:right w:val="single" w:sz="6" w:space="0" w:color="000000"/>
            </w:tcBorders>
            <w:vAlign w:val="center"/>
          </w:tcPr>
          <w:p w14:paraId="0B59C378" w14:textId="77777777" w:rsidR="004121B0" w:rsidRDefault="00016D35">
            <w:pPr>
              <w:ind w:right="43"/>
              <w:jc w:val="center"/>
            </w:pPr>
            <w:r>
              <w:rPr>
                <w:rFonts w:ascii="Arial" w:eastAsia="Arial" w:hAnsi="Arial" w:cs="Arial"/>
                <w:strike/>
                <w:sz w:val="19"/>
              </w:rPr>
              <w:t>nie*</w:t>
            </w:r>
            <w:r>
              <w:rPr>
                <w:rFonts w:ascii="Courier New" w:eastAsia="Courier New" w:hAnsi="Courier New" w:cs="Courier New"/>
              </w:rPr>
              <w:t xml:space="preserve"> </w:t>
            </w:r>
          </w:p>
        </w:tc>
      </w:tr>
      <w:tr w:rsidR="004121B0" w14:paraId="066B87FF" w14:textId="77777777">
        <w:trPr>
          <w:trHeight w:val="658"/>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30130187" w14:textId="77777777" w:rsidR="004121B0" w:rsidRDefault="00016D35">
            <w:pPr>
              <w:ind w:left="28"/>
            </w:pPr>
            <w:r>
              <w:rPr>
                <w:rFonts w:ascii="Arial" w:eastAsia="Arial" w:hAnsi="Arial" w:cs="Arial"/>
                <w:sz w:val="19"/>
              </w:rPr>
              <w:t xml:space="preserve">Czy pozwolenie na budowę jest zaskarżone </w:t>
            </w:r>
          </w:p>
        </w:tc>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642E76E6" w14:textId="77777777" w:rsidR="004121B0" w:rsidRDefault="00016D35">
            <w:pPr>
              <w:ind w:right="42"/>
              <w:jc w:val="center"/>
            </w:pPr>
            <w:r>
              <w:rPr>
                <w:rFonts w:ascii="Arial" w:eastAsia="Arial" w:hAnsi="Arial" w:cs="Arial"/>
                <w:strike/>
                <w:sz w:val="19"/>
              </w:rPr>
              <w:t>tak*</w:t>
            </w:r>
            <w:r>
              <w:rPr>
                <w:rFonts w:ascii="Arial" w:eastAsia="Arial" w:hAnsi="Arial" w:cs="Arial"/>
                <w:sz w:val="19"/>
              </w:rPr>
              <w:t xml:space="preserve"> </w:t>
            </w:r>
          </w:p>
        </w:tc>
        <w:tc>
          <w:tcPr>
            <w:tcW w:w="3500" w:type="dxa"/>
            <w:gridSpan w:val="2"/>
            <w:tcBorders>
              <w:top w:val="single" w:sz="6" w:space="0" w:color="000000"/>
              <w:left w:val="single" w:sz="6" w:space="0" w:color="000000"/>
              <w:bottom w:val="single" w:sz="6" w:space="0" w:color="000000"/>
              <w:right w:val="single" w:sz="6" w:space="0" w:color="000000"/>
            </w:tcBorders>
            <w:vAlign w:val="center"/>
          </w:tcPr>
          <w:p w14:paraId="6594541B" w14:textId="77777777" w:rsidR="004121B0" w:rsidRDefault="00016D35">
            <w:pPr>
              <w:ind w:right="43"/>
              <w:jc w:val="center"/>
            </w:pPr>
            <w:r>
              <w:rPr>
                <w:rFonts w:ascii="Arial" w:eastAsia="Arial" w:hAnsi="Arial" w:cs="Arial"/>
                <w:sz w:val="19"/>
              </w:rPr>
              <w:t>nie*</w:t>
            </w:r>
            <w:r>
              <w:rPr>
                <w:rFonts w:ascii="Courier New" w:eastAsia="Courier New" w:hAnsi="Courier New" w:cs="Courier New"/>
              </w:rPr>
              <w:t xml:space="preserve"> </w:t>
            </w:r>
          </w:p>
        </w:tc>
      </w:tr>
      <w:tr w:rsidR="004121B0" w14:paraId="745CDDF6" w14:textId="77777777">
        <w:trPr>
          <w:trHeight w:val="854"/>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664D0299" w14:textId="77777777" w:rsidR="004121B0" w:rsidRDefault="00016D35">
            <w:pPr>
              <w:ind w:left="28"/>
            </w:pPr>
            <w:r>
              <w:rPr>
                <w:rFonts w:ascii="Arial" w:eastAsia="Arial" w:hAnsi="Arial" w:cs="Arial"/>
                <w:sz w:val="19"/>
              </w:rPr>
              <w:t xml:space="preserve">Nr pozwolenia na budowę oraz nazwa organu, który je wydał </w:t>
            </w:r>
          </w:p>
        </w:tc>
        <w:tc>
          <w:tcPr>
            <w:tcW w:w="7001" w:type="dxa"/>
            <w:gridSpan w:val="4"/>
            <w:tcBorders>
              <w:top w:val="single" w:sz="6" w:space="0" w:color="000000"/>
              <w:left w:val="single" w:sz="6" w:space="0" w:color="000000"/>
              <w:bottom w:val="single" w:sz="6" w:space="0" w:color="000000"/>
              <w:right w:val="single" w:sz="6" w:space="0" w:color="000000"/>
            </w:tcBorders>
          </w:tcPr>
          <w:p w14:paraId="336993EE" w14:textId="77777777" w:rsidR="004121B0" w:rsidRDefault="00016D35">
            <w:pPr>
              <w:ind w:right="35"/>
            </w:pPr>
            <w:r>
              <w:rPr>
                <w:rFonts w:ascii="Arial" w:eastAsia="Arial" w:hAnsi="Arial" w:cs="Arial"/>
              </w:rPr>
              <w:t xml:space="preserve">Decyzja nr 113/2019 wydana przez Prezydenta Miasta Dąbrowy Górniczej oraz decyzja 449/2021 z dnia 02.06.2021 roku wydana przez Prezydenta Miasta Dąbrowy Górniczej </w:t>
            </w:r>
          </w:p>
        </w:tc>
      </w:tr>
      <w:tr w:rsidR="004121B0" w14:paraId="75393802" w14:textId="77777777">
        <w:trPr>
          <w:trHeight w:val="658"/>
        </w:trPr>
        <w:tc>
          <w:tcPr>
            <w:tcW w:w="3199"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29BC11AB" w14:textId="77777777" w:rsidR="004121B0" w:rsidRDefault="00016D35">
            <w:pPr>
              <w:ind w:left="28" w:right="2"/>
              <w:jc w:val="both"/>
            </w:pPr>
            <w:r>
              <w:rPr>
                <w:rFonts w:ascii="Arial" w:eastAsia="Arial" w:hAnsi="Arial" w:cs="Arial"/>
                <w:sz w:val="19"/>
              </w:rPr>
              <w:t xml:space="preserve">Planowany termin rozpoczęcia i zakończenia prac budowlanych </w:t>
            </w:r>
          </w:p>
        </w:tc>
        <w:tc>
          <w:tcPr>
            <w:tcW w:w="7001" w:type="dxa"/>
            <w:gridSpan w:val="4"/>
            <w:tcBorders>
              <w:top w:val="single" w:sz="6" w:space="0" w:color="000000"/>
              <w:left w:val="single" w:sz="6" w:space="0" w:color="000000"/>
              <w:bottom w:val="single" w:sz="6" w:space="0" w:color="000000"/>
              <w:right w:val="single" w:sz="6" w:space="0" w:color="000000"/>
            </w:tcBorders>
          </w:tcPr>
          <w:p w14:paraId="2EFE84CB" w14:textId="77777777" w:rsidR="004121B0" w:rsidRDefault="00016D35">
            <w:r>
              <w:rPr>
                <w:rFonts w:ascii="Arial" w:eastAsia="Arial" w:hAnsi="Arial" w:cs="Arial"/>
              </w:rPr>
              <w:t xml:space="preserve">01.07.2021 – 30.06.2024 </w:t>
            </w:r>
          </w:p>
        </w:tc>
      </w:tr>
      <w:tr w:rsidR="004121B0" w14:paraId="4B0C6B4D" w14:textId="77777777">
        <w:trPr>
          <w:trHeight w:val="924"/>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2F26A3E2" w14:textId="77777777" w:rsidR="004121B0" w:rsidRDefault="00016D35">
            <w:pPr>
              <w:ind w:left="28" w:right="93"/>
              <w:jc w:val="both"/>
            </w:pPr>
            <w:r>
              <w:rPr>
                <w:rFonts w:ascii="Arial" w:eastAsia="Arial" w:hAnsi="Arial" w:cs="Arial"/>
                <w:sz w:val="19"/>
              </w:rPr>
              <w:t xml:space="preserve">Termin, do którego nastąpi przeniesienie prawa własności nieruchomości </w:t>
            </w:r>
          </w:p>
        </w:tc>
        <w:tc>
          <w:tcPr>
            <w:tcW w:w="7001" w:type="dxa"/>
            <w:gridSpan w:val="4"/>
            <w:tcBorders>
              <w:top w:val="single" w:sz="6" w:space="0" w:color="000000"/>
              <w:left w:val="single" w:sz="6" w:space="0" w:color="000000"/>
              <w:bottom w:val="single" w:sz="6" w:space="0" w:color="000000"/>
              <w:right w:val="single" w:sz="6" w:space="0" w:color="000000"/>
            </w:tcBorders>
          </w:tcPr>
          <w:p w14:paraId="7869D204" w14:textId="77777777" w:rsidR="004121B0" w:rsidRDefault="00016D35">
            <w:pPr>
              <w:spacing w:after="26"/>
            </w:pPr>
            <w:r>
              <w:rPr>
                <w:rFonts w:ascii="Arial" w:eastAsia="Arial" w:hAnsi="Arial" w:cs="Arial"/>
              </w:rPr>
              <w:t xml:space="preserve">Budynek D – 31.12.2024 r. </w:t>
            </w:r>
          </w:p>
          <w:p w14:paraId="0EAAD725" w14:textId="77777777" w:rsidR="004121B0" w:rsidRDefault="00016D35">
            <w:r>
              <w:rPr>
                <w:rFonts w:ascii="Arial" w:eastAsia="Arial" w:hAnsi="Arial" w:cs="Arial"/>
              </w:rPr>
              <w:t xml:space="preserve"> </w:t>
            </w:r>
          </w:p>
        </w:tc>
      </w:tr>
      <w:tr w:rsidR="004121B0" w14:paraId="1A3A722A" w14:textId="77777777">
        <w:trPr>
          <w:trHeight w:val="392"/>
        </w:trPr>
        <w:tc>
          <w:tcPr>
            <w:tcW w:w="3199" w:type="dxa"/>
            <w:vMerge w:val="restart"/>
            <w:tcBorders>
              <w:top w:val="single" w:sz="6" w:space="0" w:color="000000"/>
              <w:left w:val="single" w:sz="6" w:space="0" w:color="000000"/>
              <w:bottom w:val="single" w:sz="6" w:space="0" w:color="000000"/>
              <w:right w:val="single" w:sz="6" w:space="0" w:color="000000"/>
            </w:tcBorders>
            <w:shd w:val="clear" w:color="auto" w:fill="E0E0E0"/>
          </w:tcPr>
          <w:p w14:paraId="367D400A" w14:textId="77777777" w:rsidR="004121B0" w:rsidRDefault="00016D35">
            <w:pPr>
              <w:ind w:left="28"/>
            </w:pPr>
            <w:r>
              <w:rPr>
                <w:rFonts w:ascii="Arial" w:eastAsia="Arial" w:hAnsi="Arial" w:cs="Arial"/>
                <w:sz w:val="19"/>
              </w:rPr>
              <w:t xml:space="preserve">Opis przedsięwzięcia deweloperskiego </w:t>
            </w:r>
          </w:p>
        </w:tc>
        <w:tc>
          <w:tcPr>
            <w:tcW w:w="3158" w:type="dxa"/>
            <w:tcBorders>
              <w:top w:val="single" w:sz="6" w:space="0" w:color="000000"/>
              <w:left w:val="single" w:sz="6" w:space="0" w:color="000000"/>
              <w:bottom w:val="single" w:sz="6" w:space="0" w:color="000000"/>
              <w:right w:val="single" w:sz="4" w:space="0" w:color="000000"/>
            </w:tcBorders>
            <w:vAlign w:val="bottom"/>
          </w:tcPr>
          <w:p w14:paraId="7E0E9C04" w14:textId="77777777" w:rsidR="004121B0" w:rsidRDefault="00016D35">
            <w:pPr>
              <w:ind w:left="29"/>
            </w:pPr>
            <w:r>
              <w:rPr>
                <w:rFonts w:ascii="Arial" w:eastAsia="Arial" w:hAnsi="Arial" w:cs="Arial"/>
                <w:sz w:val="19"/>
              </w:rPr>
              <w:t xml:space="preserve">liczba budynków </w:t>
            </w:r>
          </w:p>
        </w:tc>
        <w:tc>
          <w:tcPr>
            <w:tcW w:w="3843" w:type="dxa"/>
            <w:gridSpan w:val="3"/>
            <w:tcBorders>
              <w:top w:val="single" w:sz="6" w:space="0" w:color="000000"/>
              <w:left w:val="single" w:sz="4" w:space="0" w:color="000000"/>
              <w:bottom w:val="single" w:sz="6" w:space="0" w:color="000000"/>
              <w:right w:val="single" w:sz="6" w:space="0" w:color="000000"/>
            </w:tcBorders>
          </w:tcPr>
          <w:p w14:paraId="1184443C" w14:textId="77777777" w:rsidR="004121B0" w:rsidRDefault="00016D35">
            <w:pPr>
              <w:ind w:left="1"/>
            </w:pPr>
            <w:r>
              <w:rPr>
                <w:rFonts w:ascii="Arial" w:eastAsia="Arial" w:hAnsi="Arial" w:cs="Arial"/>
              </w:rPr>
              <w:t xml:space="preserve">1 z 4 </w:t>
            </w:r>
          </w:p>
        </w:tc>
      </w:tr>
      <w:tr w:rsidR="004121B0" w14:paraId="481412CB" w14:textId="77777777">
        <w:trPr>
          <w:trHeight w:val="924"/>
        </w:trPr>
        <w:tc>
          <w:tcPr>
            <w:tcW w:w="0" w:type="auto"/>
            <w:vMerge/>
            <w:tcBorders>
              <w:top w:val="nil"/>
              <w:left w:val="single" w:sz="6" w:space="0" w:color="000000"/>
              <w:bottom w:val="single" w:sz="6" w:space="0" w:color="000000"/>
              <w:right w:val="single" w:sz="6" w:space="0" w:color="000000"/>
            </w:tcBorders>
          </w:tcPr>
          <w:p w14:paraId="4F3A69DB" w14:textId="77777777" w:rsidR="004121B0" w:rsidRDefault="004121B0"/>
        </w:tc>
        <w:tc>
          <w:tcPr>
            <w:tcW w:w="3158" w:type="dxa"/>
            <w:tcBorders>
              <w:top w:val="single" w:sz="6" w:space="0" w:color="000000"/>
              <w:left w:val="single" w:sz="6" w:space="0" w:color="000000"/>
              <w:bottom w:val="single" w:sz="6" w:space="0" w:color="000000"/>
              <w:right w:val="single" w:sz="4" w:space="0" w:color="000000"/>
            </w:tcBorders>
            <w:vAlign w:val="center"/>
          </w:tcPr>
          <w:p w14:paraId="0EFBE408" w14:textId="77777777" w:rsidR="004121B0" w:rsidRDefault="00016D35">
            <w:pPr>
              <w:ind w:left="29" w:right="95"/>
              <w:jc w:val="both"/>
            </w:pPr>
            <w:r>
              <w:rPr>
                <w:rFonts w:ascii="Arial" w:eastAsia="Arial" w:hAnsi="Arial" w:cs="Arial"/>
                <w:sz w:val="19"/>
              </w:rPr>
              <w:t xml:space="preserve">rozmieszczenie ich na nieruchomości (należy podać minimalny odstęp pomiędzy budynkami) </w:t>
            </w:r>
          </w:p>
        </w:tc>
        <w:tc>
          <w:tcPr>
            <w:tcW w:w="3843" w:type="dxa"/>
            <w:gridSpan w:val="3"/>
            <w:tcBorders>
              <w:top w:val="single" w:sz="6" w:space="0" w:color="000000"/>
              <w:left w:val="single" w:sz="4" w:space="0" w:color="000000"/>
              <w:bottom w:val="single" w:sz="6" w:space="0" w:color="000000"/>
              <w:right w:val="single" w:sz="6" w:space="0" w:color="000000"/>
            </w:tcBorders>
          </w:tcPr>
          <w:p w14:paraId="7067C8D7" w14:textId="77777777" w:rsidR="004121B0" w:rsidRDefault="00016D35">
            <w:pPr>
              <w:spacing w:after="39" w:line="261" w:lineRule="auto"/>
              <w:ind w:left="1"/>
            </w:pPr>
            <w:r>
              <w:rPr>
                <w:rFonts w:ascii="Times New Roman" w:eastAsia="Times New Roman" w:hAnsi="Times New Roman" w:cs="Times New Roman"/>
                <w:sz w:val="20"/>
              </w:rPr>
              <w:t xml:space="preserve"> Min. 25m. Odległość budynków AB od CD- 25m, odległość AD od BC – 28m. </w:t>
            </w:r>
          </w:p>
          <w:p w14:paraId="5890DA50" w14:textId="77777777" w:rsidR="004121B0" w:rsidRDefault="00016D35">
            <w:pPr>
              <w:ind w:left="1"/>
            </w:pPr>
            <w:r>
              <w:rPr>
                <w:rFonts w:ascii="Arial" w:eastAsia="Arial" w:hAnsi="Arial" w:cs="Arial"/>
              </w:rPr>
              <w:t xml:space="preserve"> </w:t>
            </w:r>
          </w:p>
        </w:tc>
      </w:tr>
      <w:tr w:rsidR="004121B0" w14:paraId="43443AE1" w14:textId="77777777">
        <w:trPr>
          <w:trHeight w:val="908"/>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4521C685" w14:textId="77777777" w:rsidR="004121B0" w:rsidRDefault="00016D35">
            <w:pPr>
              <w:ind w:left="28" w:right="93"/>
              <w:jc w:val="both"/>
            </w:pPr>
            <w:r>
              <w:rPr>
                <w:rFonts w:ascii="Arial" w:eastAsia="Arial" w:hAnsi="Arial" w:cs="Arial"/>
                <w:sz w:val="19"/>
              </w:rPr>
              <w:t xml:space="preserve">Sposób pomiaru powierzchni lokalu mieszkalnego lub domu jednorodzinnego </w:t>
            </w:r>
          </w:p>
        </w:tc>
        <w:tc>
          <w:tcPr>
            <w:tcW w:w="7001" w:type="dxa"/>
            <w:gridSpan w:val="4"/>
            <w:tcBorders>
              <w:top w:val="single" w:sz="6" w:space="0" w:color="000000"/>
              <w:left w:val="single" w:sz="6" w:space="0" w:color="000000"/>
              <w:bottom w:val="single" w:sz="6" w:space="0" w:color="000000"/>
              <w:right w:val="single" w:sz="6" w:space="0" w:color="000000"/>
            </w:tcBorders>
          </w:tcPr>
          <w:p w14:paraId="3BC9AED0" w14:textId="77777777" w:rsidR="004121B0" w:rsidRDefault="00016D35">
            <w:r>
              <w:rPr>
                <w:rFonts w:ascii="Arial" w:eastAsia="Arial" w:hAnsi="Arial" w:cs="Arial"/>
              </w:rPr>
              <w:t xml:space="preserve">Zgodny z normą PN-ISO 9836:2011 </w:t>
            </w:r>
          </w:p>
        </w:tc>
      </w:tr>
      <w:tr w:rsidR="004121B0" w14:paraId="11F01B65" w14:textId="77777777">
        <w:trPr>
          <w:trHeight w:val="1785"/>
        </w:trPr>
        <w:tc>
          <w:tcPr>
            <w:tcW w:w="3199" w:type="dxa"/>
            <w:vMerge w:val="restart"/>
            <w:tcBorders>
              <w:top w:val="single" w:sz="6" w:space="0" w:color="000000"/>
              <w:left w:val="single" w:sz="6" w:space="0" w:color="000000"/>
              <w:bottom w:val="single" w:sz="2" w:space="0" w:color="E0E0E0"/>
              <w:right w:val="single" w:sz="6" w:space="0" w:color="000000"/>
            </w:tcBorders>
            <w:shd w:val="clear" w:color="auto" w:fill="E0E0E0"/>
          </w:tcPr>
          <w:p w14:paraId="2B9390FF" w14:textId="77777777" w:rsidR="004121B0" w:rsidRDefault="00016D35">
            <w:pPr>
              <w:ind w:left="28" w:right="96"/>
              <w:jc w:val="both"/>
            </w:pPr>
            <w:r>
              <w:rPr>
                <w:rFonts w:ascii="Arial" w:eastAsia="Arial" w:hAnsi="Arial" w:cs="Arial"/>
                <w:sz w:val="19"/>
              </w:rPr>
              <w:t xml:space="preserve">Zamierzony sposób i procentowy udział źródeł finansowania przedsięwzięcia deweloperskiego </w:t>
            </w:r>
          </w:p>
        </w:tc>
        <w:tc>
          <w:tcPr>
            <w:tcW w:w="7001" w:type="dxa"/>
            <w:gridSpan w:val="4"/>
            <w:tcBorders>
              <w:top w:val="single" w:sz="6" w:space="0" w:color="000000"/>
              <w:left w:val="single" w:sz="6" w:space="0" w:color="000000"/>
              <w:bottom w:val="single" w:sz="6" w:space="0" w:color="000000"/>
              <w:right w:val="single" w:sz="6" w:space="0" w:color="000000"/>
            </w:tcBorders>
          </w:tcPr>
          <w:p w14:paraId="572E5682" w14:textId="77777777" w:rsidR="004121B0" w:rsidRDefault="00016D35">
            <w:pPr>
              <w:spacing w:after="31" w:line="282" w:lineRule="auto"/>
              <w:ind w:right="32"/>
            </w:pPr>
            <w:r>
              <w:rPr>
                <w:rFonts w:ascii="Arial" w:eastAsia="Arial" w:hAnsi="Arial" w:cs="Arial"/>
                <w:sz w:val="20"/>
              </w:rPr>
              <w:t xml:space="preserve">Realizowana inwestycja współfinansowana jest w ramach uzyskanego kredytu  </w:t>
            </w:r>
          </w:p>
          <w:p w14:paraId="27B9AB32" w14:textId="77777777" w:rsidR="004121B0" w:rsidRDefault="00016D35">
            <w:pPr>
              <w:spacing w:after="55"/>
            </w:pPr>
            <w:r>
              <w:rPr>
                <w:rFonts w:ascii="Arial" w:eastAsia="Arial" w:hAnsi="Arial" w:cs="Arial"/>
                <w:sz w:val="20"/>
              </w:rPr>
              <w:t xml:space="preserve">Planowana struktura finansowania netto: </w:t>
            </w:r>
          </w:p>
          <w:p w14:paraId="18E95B35" w14:textId="77777777" w:rsidR="004121B0" w:rsidRDefault="00016D35">
            <w:pPr>
              <w:spacing w:after="72"/>
            </w:pPr>
            <w:r>
              <w:rPr>
                <w:rFonts w:ascii="Arial" w:eastAsia="Arial" w:hAnsi="Arial" w:cs="Arial"/>
                <w:sz w:val="20"/>
              </w:rPr>
              <w:t xml:space="preserve">Kredyt bankowy– 75,20 % </w:t>
            </w:r>
          </w:p>
          <w:p w14:paraId="4B5CC304" w14:textId="77777777" w:rsidR="004121B0" w:rsidRDefault="00016D35">
            <w:pPr>
              <w:spacing w:after="53"/>
            </w:pPr>
            <w:r>
              <w:rPr>
                <w:rFonts w:ascii="Arial" w:eastAsia="Arial" w:hAnsi="Arial" w:cs="Arial"/>
                <w:sz w:val="20"/>
              </w:rPr>
              <w:t xml:space="preserve">Środki własne – 24,80 % </w:t>
            </w:r>
          </w:p>
          <w:p w14:paraId="40B24439" w14:textId="77777777" w:rsidR="004121B0" w:rsidRDefault="00016D35">
            <w:r>
              <w:rPr>
                <w:rFonts w:ascii="Arial" w:eastAsia="Arial" w:hAnsi="Arial" w:cs="Arial"/>
              </w:rPr>
              <w:t xml:space="preserve"> </w:t>
            </w:r>
          </w:p>
        </w:tc>
      </w:tr>
      <w:tr w:rsidR="004121B0" w14:paraId="44FF6D0F" w14:textId="77777777">
        <w:trPr>
          <w:trHeight w:val="916"/>
        </w:trPr>
        <w:tc>
          <w:tcPr>
            <w:tcW w:w="0" w:type="auto"/>
            <w:vMerge/>
            <w:tcBorders>
              <w:top w:val="nil"/>
              <w:left w:val="single" w:sz="6" w:space="0" w:color="000000"/>
              <w:bottom w:val="single" w:sz="2" w:space="0" w:color="E0E0E0"/>
              <w:right w:val="single" w:sz="6" w:space="0" w:color="000000"/>
            </w:tcBorders>
          </w:tcPr>
          <w:p w14:paraId="4357BF9E" w14:textId="77777777" w:rsidR="004121B0" w:rsidRDefault="004121B0"/>
        </w:tc>
        <w:tc>
          <w:tcPr>
            <w:tcW w:w="7001" w:type="dxa"/>
            <w:gridSpan w:val="4"/>
            <w:tcBorders>
              <w:top w:val="single" w:sz="6" w:space="0" w:color="000000"/>
              <w:left w:val="single" w:sz="6" w:space="0" w:color="000000"/>
              <w:bottom w:val="single" w:sz="6" w:space="0" w:color="000000"/>
              <w:right w:val="single" w:sz="6" w:space="0" w:color="000000"/>
            </w:tcBorders>
          </w:tcPr>
          <w:p w14:paraId="185EE6A5" w14:textId="77777777" w:rsidR="004121B0" w:rsidRDefault="00016D35">
            <w:pPr>
              <w:spacing w:after="53"/>
              <w:jc w:val="both"/>
            </w:pPr>
            <w:r>
              <w:rPr>
                <w:rFonts w:ascii="Arial" w:eastAsia="Arial" w:hAnsi="Arial" w:cs="Arial"/>
                <w:sz w:val="20"/>
              </w:rPr>
              <w:t xml:space="preserve">w następujących instytucjach finansowych (wypełnia się w przypadku kredytu) </w:t>
            </w:r>
          </w:p>
          <w:p w14:paraId="0BC2FE0B" w14:textId="77777777" w:rsidR="004121B0" w:rsidRDefault="00016D35">
            <w:pPr>
              <w:spacing w:after="81"/>
            </w:pPr>
            <w:r>
              <w:rPr>
                <w:rFonts w:ascii="Arial" w:eastAsia="Arial" w:hAnsi="Arial" w:cs="Arial"/>
                <w:sz w:val="20"/>
              </w:rPr>
              <w:t xml:space="preserve"> </w:t>
            </w:r>
          </w:p>
          <w:p w14:paraId="5298A504" w14:textId="77777777" w:rsidR="004121B0" w:rsidRDefault="00016D35">
            <w:r>
              <w:rPr>
                <w:rFonts w:ascii="Arial" w:eastAsia="Arial" w:hAnsi="Arial" w:cs="Arial"/>
                <w:sz w:val="20"/>
              </w:rPr>
              <w:t>Śląski Bank Spółdzielczy SILESIA w Katowicach</w:t>
            </w:r>
            <w:r>
              <w:rPr>
                <w:rFonts w:ascii="Arial" w:eastAsia="Arial" w:hAnsi="Arial" w:cs="Arial"/>
              </w:rPr>
              <w:t xml:space="preserve"> </w:t>
            </w:r>
          </w:p>
        </w:tc>
      </w:tr>
      <w:tr w:rsidR="004121B0" w14:paraId="4983746F" w14:textId="77777777">
        <w:trPr>
          <w:trHeight w:val="841"/>
        </w:trPr>
        <w:tc>
          <w:tcPr>
            <w:tcW w:w="3199" w:type="dxa"/>
            <w:vMerge w:val="restart"/>
            <w:tcBorders>
              <w:top w:val="single" w:sz="2" w:space="0" w:color="E0E0E0"/>
              <w:left w:val="single" w:sz="6" w:space="0" w:color="000000"/>
              <w:bottom w:val="single" w:sz="6" w:space="0" w:color="000000"/>
              <w:right w:val="single" w:sz="6" w:space="0" w:color="000000"/>
            </w:tcBorders>
            <w:shd w:val="clear" w:color="auto" w:fill="E0E0E0"/>
            <w:vAlign w:val="center"/>
          </w:tcPr>
          <w:p w14:paraId="1607B3CA" w14:textId="77777777" w:rsidR="004121B0" w:rsidRDefault="00016D35">
            <w:pPr>
              <w:spacing w:after="763"/>
              <w:ind w:left="28"/>
            </w:pPr>
            <w:r>
              <w:rPr>
                <w:rFonts w:ascii="Arial" w:eastAsia="Arial" w:hAnsi="Arial" w:cs="Arial"/>
                <w:sz w:val="19"/>
              </w:rPr>
              <w:t xml:space="preserve">Środki ochrony nabywców </w:t>
            </w:r>
          </w:p>
          <w:p w14:paraId="40890FF8" w14:textId="77777777" w:rsidR="004121B0" w:rsidRDefault="00016D35">
            <w:pPr>
              <w:spacing w:after="380"/>
              <w:ind w:left="28"/>
            </w:pPr>
            <w:r>
              <w:rPr>
                <w:rFonts w:ascii="Arial" w:eastAsia="Arial" w:hAnsi="Arial" w:cs="Arial"/>
                <w:sz w:val="19"/>
              </w:rPr>
              <w:t xml:space="preserve"> </w:t>
            </w:r>
          </w:p>
          <w:p w14:paraId="653670C9" w14:textId="77777777" w:rsidR="004121B0" w:rsidRDefault="00016D35">
            <w:pPr>
              <w:ind w:left="28"/>
            </w:pPr>
            <w:r>
              <w:rPr>
                <w:rFonts w:ascii="Arial" w:eastAsia="Arial" w:hAnsi="Arial" w:cs="Arial"/>
                <w:sz w:val="19"/>
              </w:rPr>
              <w:t xml:space="preserve"> </w:t>
            </w:r>
          </w:p>
        </w:tc>
        <w:tc>
          <w:tcPr>
            <w:tcW w:w="3158" w:type="dxa"/>
            <w:tcBorders>
              <w:top w:val="single" w:sz="6" w:space="0" w:color="000000"/>
              <w:left w:val="single" w:sz="6" w:space="0" w:color="000000"/>
              <w:bottom w:val="single" w:sz="6" w:space="0" w:color="000000"/>
              <w:right w:val="single" w:sz="6" w:space="0" w:color="000000"/>
            </w:tcBorders>
          </w:tcPr>
          <w:p w14:paraId="7491CB19" w14:textId="77777777" w:rsidR="004121B0" w:rsidRDefault="00016D35">
            <w:pPr>
              <w:ind w:left="58" w:right="96"/>
              <w:jc w:val="both"/>
            </w:pPr>
            <w:r>
              <w:rPr>
                <w:rFonts w:ascii="Arial" w:eastAsia="Arial" w:hAnsi="Arial" w:cs="Arial"/>
                <w:sz w:val="19"/>
              </w:rPr>
              <w:t xml:space="preserve">bankowy rachunek powierniczy służący gromadzeniu środków nabywcy </w:t>
            </w:r>
          </w:p>
        </w:tc>
        <w:tc>
          <w:tcPr>
            <w:tcW w:w="1923" w:type="dxa"/>
            <w:gridSpan w:val="2"/>
            <w:tcBorders>
              <w:top w:val="single" w:sz="6" w:space="0" w:color="000000"/>
              <w:left w:val="single" w:sz="6" w:space="0" w:color="000000"/>
              <w:bottom w:val="single" w:sz="6" w:space="0" w:color="000000"/>
              <w:right w:val="single" w:sz="6" w:space="0" w:color="000000"/>
            </w:tcBorders>
          </w:tcPr>
          <w:p w14:paraId="1829767F" w14:textId="77777777" w:rsidR="004121B0" w:rsidRDefault="00016D35">
            <w:pPr>
              <w:ind w:right="42"/>
              <w:jc w:val="center"/>
            </w:pPr>
            <w:r>
              <w:rPr>
                <w:rFonts w:ascii="Arial" w:eastAsia="Arial" w:hAnsi="Arial" w:cs="Arial"/>
                <w:sz w:val="19"/>
              </w:rPr>
              <w:t xml:space="preserve">otwarty </w:t>
            </w:r>
          </w:p>
        </w:tc>
        <w:tc>
          <w:tcPr>
            <w:tcW w:w="1920" w:type="dxa"/>
            <w:tcBorders>
              <w:top w:val="single" w:sz="6" w:space="0" w:color="000000"/>
              <w:left w:val="single" w:sz="6" w:space="0" w:color="000000"/>
              <w:bottom w:val="single" w:sz="6" w:space="0" w:color="000000"/>
              <w:right w:val="single" w:sz="6" w:space="0" w:color="000000"/>
            </w:tcBorders>
          </w:tcPr>
          <w:p w14:paraId="09B395B8" w14:textId="77777777" w:rsidR="004121B0" w:rsidRDefault="00016D35">
            <w:pPr>
              <w:ind w:right="41"/>
              <w:jc w:val="center"/>
            </w:pPr>
            <w:r>
              <w:rPr>
                <w:rFonts w:ascii="Arial" w:eastAsia="Arial" w:hAnsi="Arial" w:cs="Arial"/>
                <w:strike/>
                <w:sz w:val="19"/>
              </w:rPr>
              <w:t>zamknięty*</w:t>
            </w:r>
            <w:r>
              <w:rPr>
                <w:rFonts w:ascii="Arial" w:eastAsia="Arial" w:hAnsi="Arial" w:cs="Arial"/>
                <w:sz w:val="19"/>
              </w:rPr>
              <w:t xml:space="preserve"> </w:t>
            </w:r>
          </w:p>
        </w:tc>
      </w:tr>
      <w:tr w:rsidR="004121B0" w14:paraId="7586908B" w14:textId="77777777">
        <w:trPr>
          <w:trHeight w:val="1244"/>
        </w:trPr>
        <w:tc>
          <w:tcPr>
            <w:tcW w:w="0" w:type="auto"/>
            <w:vMerge/>
            <w:tcBorders>
              <w:top w:val="nil"/>
              <w:left w:val="single" w:sz="6" w:space="0" w:color="000000"/>
              <w:bottom w:val="single" w:sz="6" w:space="0" w:color="000000"/>
              <w:right w:val="single" w:sz="6" w:space="0" w:color="000000"/>
            </w:tcBorders>
          </w:tcPr>
          <w:p w14:paraId="53168FD4" w14:textId="77777777" w:rsidR="004121B0" w:rsidRDefault="004121B0"/>
        </w:tc>
        <w:tc>
          <w:tcPr>
            <w:tcW w:w="7001" w:type="dxa"/>
            <w:gridSpan w:val="4"/>
            <w:tcBorders>
              <w:top w:val="single" w:sz="6" w:space="0" w:color="000000"/>
              <w:left w:val="single" w:sz="6" w:space="0" w:color="000000"/>
              <w:bottom w:val="single" w:sz="6" w:space="0" w:color="000000"/>
              <w:right w:val="single" w:sz="6" w:space="0" w:color="000000"/>
            </w:tcBorders>
            <w:vAlign w:val="bottom"/>
          </w:tcPr>
          <w:p w14:paraId="23989920" w14:textId="77777777" w:rsidR="004121B0" w:rsidRDefault="00016D35">
            <w:pPr>
              <w:spacing w:after="58" w:line="296" w:lineRule="auto"/>
              <w:ind w:left="29"/>
              <w:jc w:val="both"/>
            </w:pPr>
            <w:r>
              <w:rPr>
                <w:rFonts w:ascii="Arial" w:eastAsia="Arial" w:hAnsi="Arial" w:cs="Arial"/>
                <w:strike/>
                <w:sz w:val="19"/>
              </w:rPr>
              <w:t>gwarancja instytucji finansowej gwarantująca zwrot środków nabywcy lokalu,</w:t>
            </w:r>
            <w:r>
              <w:rPr>
                <w:rFonts w:ascii="Arial" w:eastAsia="Arial" w:hAnsi="Arial" w:cs="Arial"/>
                <w:sz w:val="19"/>
              </w:rPr>
              <w:t xml:space="preserve"> </w:t>
            </w:r>
            <w:r>
              <w:rPr>
                <w:rFonts w:ascii="Arial" w:eastAsia="Arial" w:hAnsi="Arial" w:cs="Arial"/>
                <w:strike/>
                <w:sz w:val="19"/>
              </w:rPr>
              <w:t xml:space="preserve">w razie </w:t>
            </w:r>
            <w:proofErr w:type="spellStart"/>
            <w:r>
              <w:rPr>
                <w:rFonts w:ascii="Arial" w:eastAsia="Arial" w:hAnsi="Arial" w:cs="Arial"/>
                <w:strike/>
                <w:sz w:val="19"/>
              </w:rPr>
              <w:t>nieprzeniesienia</w:t>
            </w:r>
            <w:proofErr w:type="spellEnd"/>
            <w:r>
              <w:rPr>
                <w:rFonts w:ascii="Arial" w:eastAsia="Arial" w:hAnsi="Arial" w:cs="Arial"/>
                <w:strike/>
                <w:sz w:val="19"/>
              </w:rPr>
              <w:t xml:space="preserve"> odrębnej własności w terminie określonym w umowie*</w:t>
            </w:r>
            <w:r>
              <w:rPr>
                <w:rFonts w:ascii="Arial" w:eastAsia="Arial" w:hAnsi="Arial" w:cs="Arial"/>
                <w:sz w:val="19"/>
              </w:rPr>
              <w:t xml:space="preserve"> </w:t>
            </w:r>
          </w:p>
          <w:p w14:paraId="303723B0" w14:textId="77777777" w:rsidR="004121B0" w:rsidRDefault="00016D35">
            <w:pPr>
              <w:spacing w:after="53"/>
              <w:ind w:left="18"/>
              <w:jc w:val="center"/>
            </w:pPr>
            <w:r>
              <w:rPr>
                <w:rFonts w:ascii="Arial" w:eastAsia="Arial" w:hAnsi="Arial" w:cs="Arial"/>
              </w:rPr>
              <w:t xml:space="preserve"> </w:t>
            </w:r>
          </w:p>
          <w:p w14:paraId="4E60E038" w14:textId="1F0CE8BF" w:rsidR="004121B0" w:rsidRPr="00016D35" w:rsidRDefault="00016D35" w:rsidP="00016D35">
            <w:pPr>
              <w:ind w:right="41"/>
              <w:jc w:val="center"/>
              <w:rPr>
                <w:szCs w:val="22"/>
              </w:rPr>
            </w:pPr>
            <w:r>
              <w:rPr>
                <w:rFonts w:ascii="Arial" w:eastAsia="Arial" w:hAnsi="Arial" w:cs="Arial"/>
              </w:rPr>
              <w:t xml:space="preserve">Numer rachunku: </w:t>
            </w:r>
            <w:r w:rsidRPr="00842AFB">
              <w:rPr>
                <w:b/>
                <w:bCs/>
                <w:szCs w:val="22"/>
              </w:rPr>
              <w:t>71 8437 0002 0010 0157 5176 0319</w:t>
            </w:r>
            <w:r w:rsidRPr="00842AFB">
              <w:rPr>
                <w:szCs w:val="22"/>
              </w:rPr>
              <w:t xml:space="preserve"> </w:t>
            </w:r>
          </w:p>
        </w:tc>
      </w:tr>
      <w:tr w:rsidR="004121B0" w14:paraId="09DF059E" w14:textId="77777777">
        <w:trPr>
          <w:trHeight w:val="3853"/>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46641A49" w14:textId="77777777" w:rsidR="004121B0" w:rsidRDefault="00016D35">
            <w:pPr>
              <w:ind w:left="28" w:right="95"/>
              <w:jc w:val="both"/>
            </w:pPr>
            <w:r>
              <w:rPr>
                <w:rFonts w:ascii="Arial" w:eastAsia="Arial" w:hAnsi="Arial" w:cs="Arial"/>
                <w:sz w:val="19"/>
              </w:rPr>
              <w:t xml:space="preserve">Główne zasady funkcjonowania wybranego rodzaju zabezpieczenia środków nabywcy </w:t>
            </w:r>
          </w:p>
        </w:tc>
        <w:tc>
          <w:tcPr>
            <w:tcW w:w="7001" w:type="dxa"/>
            <w:gridSpan w:val="4"/>
            <w:tcBorders>
              <w:top w:val="single" w:sz="6" w:space="0" w:color="000000"/>
              <w:left w:val="single" w:sz="6" w:space="0" w:color="000000"/>
              <w:bottom w:val="single" w:sz="6" w:space="0" w:color="000000"/>
              <w:right w:val="single" w:sz="6" w:space="0" w:color="000000"/>
            </w:tcBorders>
          </w:tcPr>
          <w:p w14:paraId="09512AAE" w14:textId="77777777" w:rsidR="004121B0" w:rsidRDefault="00016D35">
            <w:pPr>
              <w:ind w:right="36"/>
              <w:jc w:val="both"/>
            </w:pPr>
            <w:r>
              <w:rPr>
                <w:rFonts w:ascii="Arial" w:eastAsia="Arial" w:hAnsi="Arial" w:cs="Arial"/>
              </w:rPr>
              <w:t xml:space="preserve">Zasady funkcjonowania mieszkaniowego rachunku powierniczego otwartego reguluje USTAWA z dnia 16 września 2011 roku o ochronie praw nabywcy lokalu mieszkalnego lub domu jednorodzinnego.  Rachunek służy do gromadzenia środków nabywcy. Bank wypłaca deweloperowi środki zgromadzone na otwartym mieszkaniowym rachunku powierniczym po stwierdzeniu zakończenia danego etapu realizacji przedsięwzięcia deweloperskiego. Bank dokonuje kontroli zakończenia każdego z etapów przedsięwzięcia deweloperskiego określonego w harmonogramie przedsięwzięcia deweloperskiego, przed dokonaniem wypłaty z otwartego mieszkaniowego rachunku powierniczego na rzecz dewelopera, na podstawie wpisu kierownika budowy w dzienniku budowy, potwierdzonego przez wyznaczoną przez bank osobę posiadającą odpowiednie uprawnienia budowlane. W zakresie kontroli, bank uzyskuje prawo wglądu </w:t>
            </w:r>
            <w:proofErr w:type="gramStart"/>
            <w:r>
              <w:rPr>
                <w:rFonts w:ascii="Arial" w:eastAsia="Arial" w:hAnsi="Arial" w:cs="Arial"/>
              </w:rPr>
              <w:t>do  rachunków</w:t>
            </w:r>
            <w:proofErr w:type="gramEnd"/>
          </w:p>
        </w:tc>
      </w:tr>
    </w:tbl>
    <w:p w14:paraId="4BE73EE9" w14:textId="77777777" w:rsidR="004121B0" w:rsidRDefault="004121B0">
      <w:pPr>
        <w:spacing w:after="0"/>
        <w:ind w:left="-974" w:right="22"/>
        <w:jc w:val="both"/>
      </w:pPr>
    </w:p>
    <w:tbl>
      <w:tblPr>
        <w:tblStyle w:val="TableGrid"/>
        <w:tblW w:w="10198" w:type="dxa"/>
        <w:tblInd w:w="4" w:type="dxa"/>
        <w:tblCellMar>
          <w:top w:w="15" w:type="dxa"/>
          <w:left w:w="40" w:type="dxa"/>
        </w:tblCellMar>
        <w:tblLook w:val="04A0" w:firstRow="1" w:lastRow="0" w:firstColumn="1" w:lastColumn="0" w:noHBand="0" w:noVBand="1"/>
      </w:tblPr>
      <w:tblGrid>
        <w:gridCol w:w="3199"/>
        <w:gridCol w:w="6999"/>
      </w:tblGrid>
      <w:tr w:rsidR="004121B0" w14:paraId="4A26B842" w14:textId="77777777">
        <w:trPr>
          <w:trHeight w:val="894"/>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0165598C" w14:textId="77777777" w:rsidR="004121B0" w:rsidRDefault="004121B0"/>
        </w:tc>
        <w:tc>
          <w:tcPr>
            <w:tcW w:w="6999" w:type="dxa"/>
            <w:tcBorders>
              <w:top w:val="single" w:sz="6" w:space="0" w:color="000000"/>
              <w:left w:val="single" w:sz="6" w:space="0" w:color="000000"/>
              <w:bottom w:val="single" w:sz="6" w:space="0" w:color="000000"/>
              <w:right w:val="single" w:sz="6" w:space="0" w:color="000000"/>
            </w:tcBorders>
          </w:tcPr>
          <w:p w14:paraId="28290EBA" w14:textId="77777777" w:rsidR="004121B0" w:rsidRDefault="00016D35">
            <w:pPr>
              <w:jc w:val="both"/>
            </w:pPr>
            <w:r>
              <w:rPr>
                <w:rFonts w:ascii="Arial" w:eastAsia="Arial" w:hAnsi="Arial" w:cs="Arial"/>
              </w:rPr>
              <w:t xml:space="preserve">bankowych dewelopera oraz kontroli dokumentacji. Koszty kontroli, ponosi deweloper. </w:t>
            </w:r>
          </w:p>
        </w:tc>
      </w:tr>
      <w:tr w:rsidR="004121B0" w14:paraId="7DA19E5C" w14:textId="77777777">
        <w:trPr>
          <w:trHeight w:val="915"/>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4A779447" w14:textId="77777777" w:rsidR="004121B0" w:rsidRDefault="00016D35">
            <w:pPr>
              <w:ind w:left="28"/>
              <w:jc w:val="both"/>
            </w:pPr>
            <w:r>
              <w:rPr>
                <w:rFonts w:ascii="Arial" w:eastAsia="Arial" w:hAnsi="Arial" w:cs="Arial"/>
                <w:sz w:val="19"/>
              </w:rPr>
              <w:t xml:space="preserve">Nazwa instytucji zapewniającej bezpieczeństwo środków nabywcy </w:t>
            </w:r>
          </w:p>
        </w:tc>
        <w:tc>
          <w:tcPr>
            <w:tcW w:w="6999" w:type="dxa"/>
            <w:tcBorders>
              <w:top w:val="single" w:sz="6" w:space="0" w:color="000000"/>
              <w:left w:val="single" w:sz="6" w:space="0" w:color="000000"/>
              <w:bottom w:val="single" w:sz="6" w:space="0" w:color="000000"/>
              <w:right w:val="single" w:sz="6" w:space="0" w:color="000000"/>
            </w:tcBorders>
          </w:tcPr>
          <w:p w14:paraId="68805749" w14:textId="77777777" w:rsidR="004121B0" w:rsidRDefault="00016D35">
            <w:pPr>
              <w:spacing w:after="74"/>
              <w:ind w:left="20"/>
              <w:jc w:val="center"/>
            </w:pPr>
            <w:r>
              <w:rPr>
                <w:rFonts w:ascii="Arial" w:eastAsia="Arial" w:hAnsi="Arial" w:cs="Arial"/>
              </w:rPr>
              <w:t xml:space="preserve"> </w:t>
            </w:r>
          </w:p>
          <w:p w14:paraId="1EA17027" w14:textId="77777777" w:rsidR="004121B0" w:rsidRDefault="00016D35">
            <w:pPr>
              <w:spacing w:after="30"/>
              <w:ind w:right="41"/>
              <w:jc w:val="center"/>
            </w:pPr>
            <w:r>
              <w:rPr>
                <w:rFonts w:ascii="Arial" w:eastAsia="Arial" w:hAnsi="Arial" w:cs="Arial"/>
                <w:sz w:val="20"/>
              </w:rPr>
              <w:t>Śląski Bank Spółdzielczy SILESIA w Katowicach</w:t>
            </w:r>
            <w:r>
              <w:rPr>
                <w:rFonts w:ascii="Arial" w:eastAsia="Arial" w:hAnsi="Arial" w:cs="Arial"/>
              </w:rPr>
              <w:t xml:space="preserve"> </w:t>
            </w:r>
          </w:p>
          <w:p w14:paraId="32583979" w14:textId="77777777" w:rsidR="004121B0" w:rsidRDefault="00016D35">
            <w:pPr>
              <w:ind w:left="20"/>
              <w:jc w:val="center"/>
            </w:pPr>
            <w:r>
              <w:rPr>
                <w:rFonts w:ascii="Arial" w:eastAsia="Arial" w:hAnsi="Arial" w:cs="Arial"/>
              </w:rPr>
              <w:t xml:space="preserve"> </w:t>
            </w:r>
          </w:p>
        </w:tc>
      </w:tr>
      <w:tr w:rsidR="004121B0" w14:paraId="21B629C7" w14:textId="77777777">
        <w:trPr>
          <w:trHeight w:val="3845"/>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3C453399" w14:textId="77777777" w:rsidR="004121B0" w:rsidRDefault="00016D35">
            <w:pPr>
              <w:ind w:left="28"/>
              <w:jc w:val="both"/>
            </w:pPr>
            <w:r>
              <w:rPr>
                <w:rFonts w:ascii="Arial" w:eastAsia="Arial" w:hAnsi="Arial" w:cs="Arial"/>
                <w:sz w:val="19"/>
              </w:rPr>
              <w:t xml:space="preserve">Harmonogram przedsięwzięcia deweloperskiego, w etapach </w:t>
            </w:r>
          </w:p>
        </w:tc>
        <w:tc>
          <w:tcPr>
            <w:tcW w:w="6999" w:type="dxa"/>
            <w:tcBorders>
              <w:top w:val="single" w:sz="6" w:space="0" w:color="000000"/>
              <w:left w:val="single" w:sz="6" w:space="0" w:color="000000"/>
              <w:bottom w:val="single" w:sz="6" w:space="0" w:color="000000"/>
              <w:right w:val="single" w:sz="6" w:space="0" w:color="000000"/>
            </w:tcBorders>
          </w:tcPr>
          <w:p w14:paraId="45D937F1" w14:textId="77777777" w:rsidR="004121B0" w:rsidRDefault="00016D35">
            <w:pPr>
              <w:spacing w:after="55" w:line="270" w:lineRule="auto"/>
            </w:pPr>
            <w:r>
              <w:rPr>
                <w:rFonts w:ascii="Arial" w:eastAsia="Arial" w:hAnsi="Arial" w:cs="Arial"/>
                <w:sz w:val="20"/>
              </w:rPr>
              <w:t xml:space="preserve">Etap I – 10% - Roboty ziemne – wykop, wymiana gruntu, doprowadzenie przyłączy </w:t>
            </w:r>
            <w:proofErr w:type="spellStart"/>
            <w:r>
              <w:rPr>
                <w:rFonts w:ascii="Arial" w:eastAsia="Arial" w:hAnsi="Arial" w:cs="Arial"/>
                <w:sz w:val="20"/>
              </w:rPr>
              <w:t>wod-kan</w:t>
            </w:r>
            <w:proofErr w:type="spellEnd"/>
            <w:r>
              <w:rPr>
                <w:rFonts w:ascii="Arial" w:eastAsia="Arial" w:hAnsi="Arial" w:cs="Arial"/>
                <w:sz w:val="20"/>
              </w:rPr>
              <w:t xml:space="preserve">, płyta fundamentowa – 30 </w:t>
            </w:r>
            <w:proofErr w:type="gramStart"/>
            <w:r>
              <w:rPr>
                <w:rFonts w:ascii="Arial" w:eastAsia="Arial" w:hAnsi="Arial" w:cs="Arial"/>
                <w:sz w:val="20"/>
              </w:rPr>
              <w:t>kwiecień</w:t>
            </w:r>
            <w:proofErr w:type="gramEnd"/>
            <w:r>
              <w:rPr>
                <w:rFonts w:ascii="Arial" w:eastAsia="Arial" w:hAnsi="Arial" w:cs="Arial"/>
                <w:sz w:val="20"/>
              </w:rPr>
              <w:t xml:space="preserve"> 2022 roku </w:t>
            </w:r>
          </w:p>
          <w:p w14:paraId="3943FDB4" w14:textId="77777777" w:rsidR="004121B0" w:rsidRDefault="00016D35">
            <w:pPr>
              <w:spacing w:line="288" w:lineRule="auto"/>
            </w:pPr>
            <w:r>
              <w:rPr>
                <w:rFonts w:ascii="Arial" w:eastAsia="Arial" w:hAnsi="Arial" w:cs="Arial"/>
                <w:sz w:val="20"/>
              </w:rPr>
              <w:t xml:space="preserve">Etap II - 20% </w:t>
            </w:r>
            <w:proofErr w:type="gramStart"/>
            <w:r>
              <w:rPr>
                <w:rFonts w:ascii="Arial" w:eastAsia="Arial" w:hAnsi="Arial" w:cs="Arial"/>
                <w:sz w:val="20"/>
              </w:rPr>
              <w:t>-  Ściany</w:t>
            </w:r>
            <w:proofErr w:type="gramEnd"/>
            <w:r>
              <w:rPr>
                <w:rFonts w:ascii="Arial" w:eastAsia="Arial" w:hAnsi="Arial" w:cs="Arial"/>
                <w:sz w:val="20"/>
              </w:rPr>
              <w:t xml:space="preserve"> garażu, słupy garażu, wykonanie szybów windowych oraz klatek schodowych, strop, izolacja pionowa </w:t>
            </w:r>
            <w:proofErr w:type="gramStart"/>
            <w:r>
              <w:rPr>
                <w:rFonts w:ascii="Arial" w:eastAsia="Arial" w:hAnsi="Arial" w:cs="Arial"/>
                <w:sz w:val="20"/>
              </w:rPr>
              <w:t>garażu  -</w:t>
            </w:r>
            <w:proofErr w:type="gramEnd"/>
            <w:r>
              <w:rPr>
                <w:rFonts w:ascii="Arial" w:eastAsia="Arial" w:hAnsi="Arial" w:cs="Arial"/>
                <w:sz w:val="20"/>
              </w:rPr>
              <w:t xml:space="preserve"> 30 </w:t>
            </w:r>
            <w:proofErr w:type="gramStart"/>
            <w:r>
              <w:rPr>
                <w:rFonts w:ascii="Arial" w:eastAsia="Arial" w:hAnsi="Arial" w:cs="Arial"/>
                <w:sz w:val="20"/>
              </w:rPr>
              <w:t>czerwiec</w:t>
            </w:r>
            <w:proofErr w:type="gramEnd"/>
            <w:r>
              <w:rPr>
                <w:rFonts w:ascii="Arial" w:eastAsia="Arial" w:hAnsi="Arial" w:cs="Arial"/>
                <w:sz w:val="20"/>
              </w:rPr>
              <w:t xml:space="preserve"> 2022 roku </w:t>
            </w:r>
          </w:p>
          <w:p w14:paraId="0068C47A" w14:textId="77777777" w:rsidR="004121B0" w:rsidRDefault="00016D35">
            <w:pPr>
              <w:spacing w:line="249" w:lineRule="auto"/>
              <w:ind w:right="111"/>
            </w:pPr>
            <w:r>
              <w:rPr>
                <w:rFonts w:ascii="Arial" w:eastAsia="Arial" w:hAnsi="Arial" w:cs="Arial"/>
                <w:sz w:val="20"/>
              </w:rPr>
              <w:t xml:space="preserve">Etap III – 10% - Ściany konstrukcyjne – kondygnacja I, II, III, </w:t>
            </w:r>
            <w:proofErr w:type="gramStart"/>
            <w:r>
              <w:rPr>
                <w:rFonts w:ascii="Arial" w:eastAsia="Arial" w:hAnsi="Arial" w:cs="Arial"/>
                <w:sz w:val="20"/>
              </w:rPr>
              <w:t>IV  stropy</w:t>
            </w:r>
            <w:proofErr w:type="gramEnd"/>
            <w:r>
              <w:rPr>
                <w:rFonts w:ascii="Arial" w:eastAsia="Arial" w:hAnsi="Arial" w:cs="Arial"/>
                <w:sz w:val="20"/>
              </w:rPr>
              <w:t xml:space="preserve"> - kondygnacja I, II, III, </w:t>
            </w:r>
            <w:proofErr w:type="gramStart"/>
            <w:r>
              <w:rPr>
                <w:rFonts w:ascii="Arial" w:eastAsia="Arial" w:hAnsi="Arial" w:cs="Arial"/>
                <w:sz w:val="20"/>
              </w:rPr>
              <w:t>IV  schody</w:t>
            </w:r>
            <w:proofErr w:type="gramEnd"/>
            <w:r>
              <w:rPr>
                <w:rFonts w:ascii="Arial" w:eastAsia="Arial" w:hAnsi="Arial" w:cs="Arial"/>
                <w:sz w:val="20"/>
              </w:rPr>
              <w:t xml:space="preserve"> i szyby windy – 31 </w:t>
            </w:r>
            <w:proofErr w:type="gramStart"/>
            <w:r>
              <w:rPr>
                <w:rFonts w:ascii="Arial" w:eastAsia="Arial" w:hAnsi="Arial" w:cs="Arial"/>
                <w:sz w:val="20"/>
              </w:rPr>
              <w:t>styczeń</w:t>
            </w:r>
            <w:proofErr w:type="gramEnd"/>
            <w:r>
              <w:rPr>
                <w:rFonts w:ascii="Arial" w:eastAsia="Arial" w:hAnsi="Arial" w:cs="Arial"/>
                <w:sz w:val="20"/>
              </w:rPr>
              <w:t xml:space="preserve"> 2023 roku Etap IV – 20% - Ściany konstrukcyjne – kondygnacja, V, VI, VII, VIII, </w:t>
            </w:r>
            <w:proofErr w:type="gramStart"/>
            <w:r>
              <w:rPr>
                <w:rFonts w:ascii="Arial" w:eastAsia="Arial" w:hAnsi="Arial" w:cs="Arial"/>
                <w:sz w:val="20"/>
              </w:rPr>
              <w:t>IX  stropy</w:t>
            </w:r>
            <w:proofErr w:type="gramEnd"/>
            <w:r>
              <w:rPr>
                <w:rFonts w:ascii="Arial" w:eastAsia="Arial" w:hAnsi="Arial" w:cs="Arial"/>
                <w:sz w:val="20"/>
              </w:rPr>
              <w:t xml:space="preserve"> – kondygnacja, V, VI, VII, VIII, IX klatka schodowa oraz szyb windy, 30 </w:t>
            </w:r>
            <w:proofErr w:type="gramStart"/>
            <w:r>
              <w:rPr>
                <w:rFonts w:ascii="Arial" w:eastAsia="Arial" w:hAnsi="Arial" w:cs="Arial"/>
                <w:sz w:val="20"/>
              </w:rPr>
              <w:t>kwiecień</w:t>
            </w:r>
            <w:proofErr w:type="gramEnd"/>
            <w:r>
              <w:rPr>
                <w:rFonts w:ascii="Arial" w:eastAsia="Arial" w:hAnsi="Arial" w:cs="Arial"/>
                <w:sz w:val="20"/>
              </w:rPr>
              <w:t xml:space="preserve"> 2023 roku </w:t>
            </w:r>
          </w:p>
          <w:p w14:paraId="4E4626E1" w14:textId="77777777" w:rsidR="004121B0" w:rsidRDefault="00016D35">
            <w:pPr>
              <w:spacing w:after="8" w:line="243" w:lineRule="auto"/>
              <w:ind w:right="26"/>
            </w:pPr>
            <w:r>
              <w:rPr>
                <w:rFonts w:ascii="Arial" w:eastAsia="Arial" w:hAnsi="Arial" w:cs="Arial"/>
                <w:sz w:val="20"/>
              </w:rPr>
              <w:t>Etap V – 20</w:t>
            </w:r>
            <w:proofErr w:type="gramStart"/>
            <w:r>
              <w:rPr>
                <w:rFonts w:ascii="Arial" w:eastAsia="Arial" w:hAnsi="Arial" w:cs="Arial"/>
                <w:sz w:val="20"/>
              </w:rPr>
              <w:t>% ,Stolarka</w:t>
            </w:r>
            <w:proofErr w:type="gramEnd"/>
            <w:r>
              <w:rPr>
                <w:rFonts w:ascii="Arial" w:eastAsia="Arial" w:hAnsi="Arial" w:cs="Arial"/>
                <w:sz w:val="20"/>
              </w:rPr>
              <w:t xml:space="preserve"> okienna, dach wraz z ociepleniem, instalacja </w:t>
            </w:r>
            <w:proofErr w:type="spellStart"/>
            <w:r>
              <w:rPr>
                <w:rFonts w:ascii="Arial" w:eastAsia="Arial" w:hAnsi="Arial" w:cs="Arial"/>
                <w:sz w:val="20"/>
              </w:rPr>
              <w:t>wodkan</w:t>
            </w:r>
            <w:proofErr w:type="spellEnd"/>
            <w:r>
              <w:rPr>
                <w:rFonts w:ascii="Arial" w:eastAsia="Arial" w:hAnsi="Arial" w:cs="Arial"/>
                <w:sz w:val="20"/>
              </w:rPr>
              <w:t xml:space="preserve">, Instalacja elektryczna – 31 </w:t>
            </w:r>
            <w:proofErr w:type="gramStart"/>
            <w:r>
              <w:rPr>
                <w:rFonts w:ascii="Arial" w:eastAsia="Arial" w:hAnsi="Arial" w:cs="Arial"/>
                <w:sz w:val="20"/>
              </w:rPr>
              <w:t>lipiec</w:t>
            </w:r>
            <w:proofErr w:type="gramEnd"/>
            <w:r>
              <w:rPr>
                <w:rFonts w:ascii="Arial" w:eastAsia="Arial" w:hAnsi="Arial" w:cs="Arial"/>
                <w:sz w:val="20"/>
              </w:rPr>
              <w:t xml:space="preserve"> 2023 roku </w:t>
            </w:r>
          </w:p>
          <w:p w14:paraId="744E662B" w14:textId="77777777" w:rsidR="004121B0" w:rsidRDefault="00016D35">
            <w:r>
              <w:rPr>
                <w:rFonts w:ascii="Arial" w:eastAsia="Arial" w:hAnsi="Arial" w:cs="Arial"/>
                <w:sz w:val="20"/>
              </w:rPr>
              <w:t xml:space="preserve">Etap VI – 10%- Elewacja, wykonanie wylewek, wykonanie tynków, stolarka drzwiowa, 31 </w:t>
            </w:r>
            <w:proofErr w:type="gramStart"/>
            <w:r>
              <w:rPr>
                <w:rFonts w:ascii="Arial" w:eastAsia="Arial" w:hAnsi="Arial" w:cs="Arial"/>
                <w:sz w:val="20"/>
              </w:rPr>
              <w:t>grudzień</w:t>
            </w:r>
            <w:proofErr w:type="gramEnd"/>
            <w:r>
              <w:rPr>
                <w:rFonts w:ascii="Arial" w:eastAsia="Arial" w:hAnsi="Arial" w:cs="Arial"/>
                <w:sz w:val="20"/>
              </w:rPr>
              <w:t xml:space="preserve"> 2023 roku </w:t>
            </w:r>
          </w:p>
          <w:p w14:paraId="7EB28571" w14:textId="77777777" w:rsidR="004121B0" w:rsidRDefault="00016D35">
            <w:r>
              <w:rPr>
                <w:rFonts w:ascii="Arial" w:eastAsia="Arial" w:hAnsi="Arial" w:cs="Arial"/>
                <w:sz w:val="20"/>
              </w:rPr>
              <w:t xml:space="preserve">Etap VII – 10% - Balustrady balkonu, zagospodarowanie terenu, 30.06.2024 roku </w:t>
            </w:r>
          </w:p>
        </w:tc>
      </w:tr>
      <w:tr w:rsidR="004121B0" w14:paraId="7968D844" w14:textId="77777777">
        <w:trPr>
          <w:trHeight w:val="2468"/>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646D7628" w14:textId="77777777" w:rsidR="004121B0" w:rsidRDefault="00016D35">
            <w:pPr>
              <w:ind w:left="28"/>
              <w:jc w:val="both"/>
            </w:pPr>
            <w:r>
              <w:rPr>
                <w:rFonts w:ascii="Arial" w:eastAsia="Arial" w:hAnsi="Arial" w:cs="Arial"/>
                <w:sz w:val="19"/>
              </w:rPr>
              <w:lastRenderedPageBreak/>
              <w:t xml:space="preserve">Dopuszczenie waloryzacji ceny oraz określenie zasad waloryzacji </w:t>
            </w:r>
          </w:p>
        </w:tc>
        <w:tc>
          <w:tcPr>
            <w:tcW w:w="6999" w:type="dxa"/>
            <w:tcBorders>
              <w:top w:val="single" w:sz="6" w:space="0" w:color="000000"/>
              <w:left w:val="single" w:sz="6" w:space="0" w:color="000000"/>
              <w:bottom w:val="single" w:sz="6" w:space="0" w:color="000000"/>
              <w:right w:val="single" w:sz="6" w:space="0" w:color="000000"/>
            </w:tcBorders>
          </w:tcPr>
          <w:p w14:paraId="565AC594" w14:textId="77777777" w:rsidR="004121B0" w:rsidRDefault="00016D35">
            <w:pPr>
              <w:numPr>
                <w:ilvl w:val="0"/>
                <w:numId w:val="2"/>
              </w:numPr>
              <w:spacing w:after="97" w:line="240" w:lineRule="auto"/>
              <w:ind w:right="45" w:hanging="358"/>
              <w:jc w:val="both"/>
            </w:pPr>
            <w:r>
              <w:rPr>
                <w:sz w:val="18"/>
              </w:rPr>
              <w:t xml:space="preserve">W przypadku zmiany stawek i/lub zasad naliczania podatku od towarów i usług w okresie obowiązywania umowy, cena brutto ulegnie odpowiedniej zmianie o wartość podatku wynikającą z tej zmiany. W terminie 30 </w:t>
            </w:r>
            <w:proofErr w:type="gramStart"/>
            <w:r>
              <w:rPr>
                <w:sz w:val="18"/>
              </w:rPr>
              <w:t>dni  od</w:t>
            </w:r>
            <w:proofErr w:type="gramEnd"/>
            <w:r>
              <w:rPr>
                <w:sz w:val="18"/>
              </w:rPr>
              <w:t xml:space="preserve">  otrzymania informacji o zmianie ceny Nabywcy mogą złożyć oświadczenie o odstąpieniu od niniejszej umowy albo wyrazić wolę zapłaty wyższej ceny. </w:t>
            </w:r>
          </w:p>
          <w:p w14:paraId="735AB1ED" w14:textId="77777777" w:rsidR="004121B0" w:rsidRDefault="00016D35">
            <w:pPr>
              <w:numPr>
                <w:ilvl w:val="0"/>
                <w:numId w:val="2"/>
              </w:numPr>
              <w:ind w:right="45" w:hanging="358"/>
              <w:jc w:val="both"/>
            </w:pPr>
            <w:r>
              <w:rPr>
                <w:sz w:val="18"/>
              </w:rPr>
              <w:t>W przypadku zmiany powierzchni lokalu cena brutto może ulec zmianie proporcjonalnie do rzeczywistej powierzchni. W terminie 30 dni od otrzymania informacji o zmianie ceny Nabywca może złożyć oświadczenie o odstąpieniu od niniejszej umowy albo wyrazić wolę jej zawarcia, postanowienie to nie dotyczy sytuacji, gdy powierzchnia użytkowa lokalu ulegnie zmianie w wyniku prac wykonanych na zlecenie Nabywcy</w:t>
            </w:r>
            <w:r>
              <w:rPr>
                <w:rFonts w:ascii="Arial" w:eastAsia="Arial" w:hAnsi="Arial" w:cs="Arial"/>
              </w:rPr>
              <w:t xml:space="preserve"> </w:t>
            </w:r>
          </w:p>
        </w:tc>
      </w:tr>
      <w:tr w:rsidR="004121B0" w14:paraId="44AE333D" w14:textId="77777777">
        <w:trPr>
          <w:trHeight w:val="671"/>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CCCCCC"/>
          </w:tcPr>
          <w:p w14:paraId="463D9C9E" w14:textId="77777777" w:rsidR="004121B0" w:rsidRDefault="00016D35">
            <w:pPr>
              <w:ind w:left="28"/>
            </w:pPr>
            <w:r>
              <w:rPr>
                <w:rFonts w:ascii="Arial" w:eastAsia="Arial" w:hAnsi="Arial" w:cs="Arial"/>
                <w:b/>
                <w:sz w:val="19"/>
              </w:rPr>
              <w:t xml:space="preserve">WARUNKI ODSTĄPIENIA OD UMOWY DEWELOPERSKIEJ </w:t>
            </w:r>
          </w:p>
        </w:tc>
      </w:tr>
      <w:tr w:rsidR="004121B0" w14:paraId="20A0508B" w14:textId="77777777">
        <w:trPr>
          <w:trHeight w:val="5727"/>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69F07CD4" w14:textId="77777777" w:rsidR="004121B0" w:rsidRDefault="00016D35">
            <w:pPr>
              <w:spacing w:line="314" w:lineRule="auto"/>
              <w:ind w:left="28"/>
              <w:jc w:val="both"/>
            </w:pPr>
            <w:r>
              <w:rPr>
                <w:rFonts w:ascii="Arial" w:eastAsia="Arial" w:hAnsi="Arial" w:cs="Arial"/>
                <w:sz w:val="19"/>
              </w:rPr>
              <w:t xml:space="preserve">Należy opisać na jakich warunkach można odstąpić od umowy </w:t>
            </w:r>
          </w:p>
          <w:p w14:paraId="49F1D0C5" w14:textId="77777777" w:rsidR="004121B0" w:rsidRDefault="00016D35">
            <w:pPr>
              <w:ind w:left="28"/>
            </w:pPr>
            <w:r>
              <w:rPr>
                <w:rFonts w:ascii="Arial" w:eastAsia="Arial" w:hAnsi="Arial" w:cs="Arial"/>
                <w:sz w:val="19"/>
              </w:rPr>
              <w:t xml:space="preserve">deweloperskiej </w:t>
            </w:r>
          </w:p>
        </w:tc>
        <w:tc>
          <w:tcPr>
            <w:tcW w:w="6999" w:type="dxa"/>
            <w:tcBorders>
              <w:top w:val="single" w:sz="6" w:space="0" w:color="000000"/>
              <w:left w:val="single" w:sz="6" w:space="0" w:color="000000"/>
              <w:bottom w:val="single" w:sz="6" w:space="0" w:color="000000"/>
              <w:right w:val="single" w:sz="6" w:space="0" w:color="000000"/>
            </w:tcBorders>
          </w:tcPr>
          <w:p w14:paraId="5CE2E3CA" w14:textId="77777777" w:rsidR="004121B0" w:rsidRDefault="00016D35">
            <w:pPr>
              <w:spacing w:line="241" w:lineRule="auto"/>
              <w:jc w:val="both"/>
            </w:pPr>
            <w:r>
              <w:rPr>
                <w:sz w:val="18"/>
              </w:rPr>
              <w:t xml:space="preserve"> Zgodnie z </w:t>
            </w:r>
            <w:r>
              <w:rPr>
                <w:b/>
                <w:sz w:val="18"/>
              </w:rPr>
              <w:t>Art.29</w:t>
            </w:r>
            <w:r>
              <w:rPr>
                <w:sz w:val="18"/>
              </w:rPr>
              <w:t xml:space="preserve"> ustawy o ochronie praw Nabywcy lokalu mieszkalnego lub domu jednorodzinnego z dnia 16 września 2011 roku </w:t>
            </w:r>
            <w:proofErr w:type="spellStart"/>
            <w:r>
              <w:rPr>
                <w:sz w:val="18"/>
              </w:rPr>
              <w:t>tj</w:t>
            </w:r>
            <w:proofErr w:type="spellEnd"/>
            <w:r>
              <w:rPr>
                <w:sz w:val="18"/>
              </w:rPr>
              <w:t>:</w:t>
            </w:r>
            <w:r>
              <w:rPr>
                <w:b/>
                <w:sz w:val="18"/>
              </w:rPr>
              <w:t xml:space="preserve"> </w:t>
            </w:r>
          </w:p>
          <w:p w14:paraId="0749AE81" w14:textId="77777777" w:rsidR="004121B0" w:rsidRDefault="00016D35">
            <w:r>
              <w:rPr>
                <w:b/>
                <w:sz w:val="18"/>
              </w:rPr>
              <w:t>1.</w:t>
            </w:r>
            <w:r>
              <w:rPr>
                <w:sz w:val="18"/>
              </w:rPr>
              <w:t xml:space="preserve">Nabywca ma prawo odstąpić od umowy deweloperskiej: </w:t>
            </w:r>
          </w:p>
          <w:p w14:paraId="30B8307B" w14:textId="77777777" w:rsidR="004121B0" w:rsidRDefault="00016D35">
            <w:pPr>
              <w:spacing w:after="1" w:line="240" w:lineRule="auto"/>
              <w:ind w:right="36"/>
              <w:jc w:val="both"/>
            </w:pPr>
            <w:r>
              <w:rPr>
                <w:sz w:val="18"/>
              </w:rPr>
              <w:t xml:space="preserve"> 1. jeżeli umowa deweloperska nie zawiera elementów, o których mowa w art.22 w/w </w:t>
            </w:r>
            <w:proofErr w:type="gramStart"/>
            <w:r>
              <w:rPr>
                <w:sz w:val="18"/>
              </w:rPr>
              <w:t>ustawy;  2.</w:t>
            </w:r>
            <w:proofErr w:type="gramEnd"/>
            <w:r>
              <w:rPr>
                <w:sz w:val="18"/>
              </w:rPr>
              <w:t xml:space="preserve"> jeżeli informacje zawarte w umowie deweloperskiej nie są </w:t>
            </w:r>
            <w:proofErr w:type="gramStart"/>
            <w:r>
              <w:rPr>
                <w:sz w:val="18"/>
              </w:rPr>
              <w:t>zgodne  z</w:t>
            </w:r>
            <w:proofErr w:type="gramEnd"/>
            <w:r>
              <w:rPr>
                <w:sz w:val="18"/>
              </w:rPr>
              <w:t xml:space="preserve"> informacjami zawartymi w prospekcie informacyjnym lub w załącznikach, </w:t>
            </w:r>
            <w:proofErr w:type="gramStart"/>
            <w:r>
              <w:rPr>
                <w:sz w:val="18"/>
              </w:rPr>
              <w:t>za wyjątkiem</w:t>
            </w:r>
            <w:proofErr w:type="gramEnd"/>
            <w:r>
              <w:rPr>
                <w:sz w:val="18"/>
              </w:rPr>
              <w:t xml:space="preserve"> zmian, o których mowa w art.22 ust.</w:t>
            </w:r>
            <w:proofErr w:type="gramStart"/>
            <w:r>
              <w:rPr>
                <w:sz w:val="18"/>
              </w:rPr>
              <w:t>2  w</w:t>
            </w:r>
            <w:proofErr w:type="gramEnd"/>
            <w:r>
              <w:rPr>
                <w:sz w:val="18"/>
              </w:rPr>
              <w:t xml:space="preserve">/w ustawy; </w:t>
            </w:r>
          </w:p>
          <w:p w14:paraId="25289934" w14:textId="77777777" w:rsidR="004121B0" w:rsidRDefault="00016D35">
            <w:pPr>
              <w:numPr>
                <w:ilvl w:val="0"/>
                <w:numId w:val="3"/>
              </w:numPr>
              <w:spacing w:line="241" w:lineRule="auto"/>
              <w:ind w:right="18"/>
              <w:jc w:val="both"/>
            </w:pPr>
            <w:r>
              <w:rPr>
                <w:sz w:val="18"/>
              </w:rPr>
              <w:t xml:space="preserve">jeżeli deweloper nie doręczył zgodnie z art.18 i art.19 w/w ustawy prospektu informacyjnego wraz z załącznikami; </w:t>
            </w:r>
          </w:p>
          <w:p w14:paraId="218A3469" w14:textId="77777777" w:rsidR="004121B0" w:rsidRDefault="00016D35">
            <w:pPr>
              <w:numPr>
                <w:ilvl w:val="0"/>
                <w:numId w:val="3"/>
              </w:numPr>
              <w:spacing w:after="1" w:line="240" w:lineRule="auto"/>
              <w:ind w:right="18"/>
              <w:jc w:val="both"/>
            </w:pPr>
            <w:r>
              <w:rPr>
                <w:sz w:val="18"/>
              </w:rPr>
              <w:t xml:space="preserve">jeżeli informacje zawarte w prospekcie informacyjnym lub w załącznikach, na podstawie których zawarto umowę deweloperską, są niezgodne ze stanem faktycznym i prawnym w dniu podpisania umowy deweloperskiej; </w:t>
            </w:r>
          </w:p>
          <w:p w14:paraId="4E0975C9" w14:textId="77777777" w:rsidR="004121B0" w:rsidRDefault="00016D35">
            <w:pPr>
              <w:numPr>
                <w:ilvl w:val="0"/>
                <w:numId w:val="3"/>
              </w:numPr>
              <w:spacing w:line="240" w:lineRule="auto"/>
              <w:ind w:right="18"/>
              <w:jc w:val="both"/>
            </w:pPr>
            <w:r>
              <w:rPr>
                <w:sz w:val="18"/>
              </w:rPr>
              <w:t xml:space="preserve">jeżeli prospekt informacyjny, na podstawie którego zawarto umowę deweloperską, nie zawiera informacji określonych we wzorze </w:t>
            </w:r>
            <w:proofErr w:type="gramStart"/>
            <w:r>
              <w:rPr>
                <w:sz w:val="18"/>
              </w:rPr>
              <w:t>prospektu  informacyjnego</w:t>
            </w:r>
            <w:proofErr w:type="gramEnd"/>
            <w:r>
              <w:rPr>
                <w:sz w:val="18"/>
              </w:rPr>
              <w:t xml:space="preserve"> stanowiącego załącznik do w/w ustawy; </w:t>
            </w:r>
          </w:p>
          <w:p w14:paraId="5BF89176" w14:textId="77777777" w:rsidR="004121B0" w:rsidRDefault="00016D35">
            <w:pPr>
              <w:numPr>
                <w:ilvl w:val="0"/>
                <w:numId w:val="3"/>
              </w:numPr>
              <w:spacing w:line="241" w:lineRule="auto"/>
              <w:ind w:right="18"/>
              <w:jc w:val="both"/>
            </w:pPr>
            <w:r>
              <w:rPr>
                <w:sz w:val="18"/>
              </w:rPr>
              <w:t xml:space="preserve">w przypadku </w:t>
            </w:r>
            <w:proofErr w:type="spellStart"/>
            <w:r>
              <w:rPr>
                <w:sz w:val="18"/>
              </w:rPr>
              <w:t>nieprzeniesienia</w:t>
            </w:r>
            <w:proofErr w:type="spellEnd"/>
            <w:r>
              <w:rPr>
                <w:sz w:val="18"/>
              </w:rPr>
              <w:t xml:space="preserve"> na Nabywcę prawa, o którym </w:t>
            </w:r>
            <w:proofErr w:type="gramStart"/>
            <w:r>
              <w:rPr>
                <w:sz w:val="18"/>
              </w:rPr>
              <w:t>mowa  w</w:t>
            </w:r>
            <w:proofErr w:type="gramEnd"/>
            <w:r>
              <w:rPr>
                <w:sz w:val="18"/>
              </w:rPr>
              <w:t xml:space="preserve"> art.1 w/w ustawy, w terminie określonym w umowie deweloperskiej; </w:t>
            </w:r>
          </w:p>
          <w:p w14:paraId="69F135DB" w14:textId="77777777" w:rsidR="004121B0" w:rsidRDefault="00016D35">
            <w:pPr>
              <w:numPr>
                <w:ilvl w:val="0"/>
                <w:numId w:val="4"/>
              </w:numPr>
              <w:spacing w:line="241" w:lineRule="auto"/>
              <w:jc w:val="both"/>
            </w:pPr>
            <w:r>
              <w:rPr>
                <w:sz w:val="18"/>
              </w:rPr>
              <w:t xml:space="preserve">W przypadkach, o których mowa w ust.1 pkt 1-5, Nabywca ma prawo odstąpienia od umowy deweloperskiej w terminie 30 dni od dnia jej zawarcia. </w:t>
            </w:r>
          </w:p>
          <w:p w14:paraId="65ABF22A" w14:textId="77777777" w:rsidR="004121B0" w:rsidRDefault="00016D35">
            <w:pPr>
              <w:numPr>
                <w:ilvl w:val="0"/>
                <w:numId w:val="4"/>
              </w:numPr>
              <w:spacing w:line="240" w:lineRule="auto"/>
              <w:jc w:val="both"/>
            </w:pPr>
            <w:r>
              <w:rPr>
                <w:sz w:val="18"/>
              </w:rPr>
              <w:t xml:space="preserve">W przypadku, o którym mowa w ust.1 pkt 6, przed skorzystaniem z </w:t>
            </w:r>
            <w:proofErr w:type="gramStart"/>
            <w:r>
              <w:rPr>
                <w:sz w:val="18"/>
              </w:rPr>
              <w:t>prawa  do</w:t>
            </w:r>
            <w:proofErr w:type="gramEnd"/>
            <w:r>
              <w:rPr>
                <w:sz w:val="18"/>
              </w:rPr>
              <w:t xml:space="preserve"> odstąpienia od umowy deweloperskiej Nabywca wyznacza deweloperowi 120-dniowy termin na przeniesienie prawa, o którym mowa w art.1 w/w ustawy, a w razie bezskutecznego upływu wyznaczonego terminu będzie uprawniony do odstąpienia od tej umowy. Nabywca zachowuje roszczenie z tytułu kary umownej za okres opóźnienia. </w:t>
            </w:r>
          </w:p>
          <w:p w14:paraId="10762CC6" w14:textId="77777777" w:rsidR="004121B0" w:rsidRDefault="00016D35">
            <w:pPr>
              <w:numPr>
                <w:ilvl w:val="0"/>
                <w:numId w:val="4"/>
              </w:numPr>
              <w:jc w:val="both"/>
            </w:pPr>
            <w:r>
              <w:rPr>
                <w:b/>
                <w:sz w:val="18"/>
              </w:rPr>
              <w:t>.</w:t>
            </w:r>
            <w:r>
              <w:rPr>
                <w:sz w:val="18"/>
              </w:rPr>
              <w:t xml:space="preserve"> Deweloper ma prawo odstąpić od umowy deweloperskiej w przypadku niespełnienia przez Nabywcę świadczenia pieniężnego w terminie lub wysokości określonej w umowie </w:t>
            </w:r>
          </w:p>
        </w:tc>
      </w:tr>
    </w:tbl>
    <w:p w14:paraId="413EA935" w14:textId="77777777" w:rsidR="004121B0" w:rsidRDefault="004121B0">
      <w:pPr>
        <w:spacing w:after="0"/>
        <w:ind w:left="-974" w:right="21"/>
      </w:pPr>
    </w:p>
    <w:tbl>
      <w:tblPr>
        <w:tblStyle w:val="TableGrid"/>
        <w:tblW w:w="10200" w:type="dxa"/>
        <w:tblInd w:w="4" w:type="dxa"/>
        <w:tblCellMar>
          <w:top w:w="41" w:type="dxa"/>
          <w:left w:w="40" w:type="dxa"/>
        </w:tblCellMar>
        <w:tblLook w:val="04A0" w:firstRow="1" w:lastRow="0" w:firstColumn="1" w:lastColumn="0" w:noHBand="0" w:noVBand="1"/>
      </w:tblPr>
      <w:tblGrid>
        <w:gridCol w:w="3199"/>
        <w:gridCol w:w="7001"/>
      </w:tblGrid>
      <w:tr w:rsidR="004121B0" w14:paraId="6DB5AA82" w14:textId="77777777">
        <w:trPr>
          <w:trHeight w:val="14515"/>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1BEE1F63" w14:textId="77777777" w:rsidR="004121B0" w:rsidRDefault="004121B0"/>
        </w:tc>
        <w:tc>
          <w:tcPr>
            <w:tcW w:w="7001" w:type="dxa"/>
            <w:tcBorders>
              <w:top w:val="single" w:sz="6" w:space="0" w:color="000000"/>
              <w:left w:val="single" w:sz="6" w:space="0" w:color="000000"/>
              <w:bottom w:val="single" w:sz="6" w:space="0" w:color="000000"/>
              <w:right w:val="single" w:sz="6" w:space="0" w:color="000000"/>
            </w:tcBorders>
          </w:tcPr>
          <w:p w14:paraId="1936D73C" w14:textId="77777777" w:rsidR="004121B0" w:rsidRDefault="00016D35">
            <w:pPr>
              <w:spacing w:after="1" w:line="240" w:lineRule="auto"/>
              <w:ind w:right="38"/>
              <w:jc w:val="both"/>
            </w:pPr>
            <w:r>
              <w:rPr>
                <w:sz w:val="18"/>
              </w:rPr>
              <w:t xml:space="preserve">deweloperskiej, mimo wezwania Nabywcy w formie pisemnej lub drogą elektroniczną do uiszczenia zaległych kwot w terminie 30 dni od dnia doręczenia wezwania, chyba że niespełnienie przez Nabywcę świadczenia pieniężnego jest spowodowane działaniem siły wyższej.       </w:t>
            </w:r>
          </w:p>
          <w:p w14:paraId="67EBCA19" w14:textId="77777777" w:rsidR="004121B0" w:rsidRDefault="00016D35">
            <w:pPr>
              <w:numPr>
                <w:ilvl w:val="0"/>
                <w:numId w:val="5"/>
              </w:numPr>
              <w:ind w:right="21"/>
              <w:jc w:val="both"/>
            </w:pPr>
            <w:proofErr w:type="gramStart"/>
            <w:r>
              <w:rPr>
                <w:sz w:val="18"/>
              </w:rPr>
              <w:t>Deweloper  ma</w:t>
            </w:r>
            <w:proofErr w:type="gramEnd"/>
            <w:r>
              <w:rPr>
                <w:sz w:val="18"/>
              </w:rPr>
              <w:t xml:space="preserve"> </w:t>
            </w:r>
            <w:proofErr w:type="gramStart"/>
            <w:r>
              <w:rPr>
                <w:sz w:val="18"/>
              </w:rPr>
              <w:t>prawo  odstąpić</w:t>
            </w:r>
            <w:proofErr w:type="gramEnd"/>
            <w:r>
              <w:rPr>
                <w:sz w:val="18"/>
              </w:rPr>
              <w:t xml:space="preserve"> od umowy deweloperskiej w przypadku niestawienia się </w:t>
            </w:r>
          </w:p>
          <w:p w14:paraId="5BB50EDA" w14:textId="77777777" w:rsidR="004121B0" w:rsidRDefault="00016D35">
            <w:pPr>
              <w:spacing w:line="240" w:lineRule="auto"/>
              <w:ind w:right="40"/>
              <w:jc w:val="both"/>
            </w:pPr>
            <w:r>
              <w:rPr>
                <w:sz w:val="18"/>
              </w:rPr>
              <w:t xml:space="preserve">Nabywcy do odbioru lokalu mieszkalnego lub podpisania aktu notarialnego przenoszącego na Nabywcę prawo, o którym mowa w art. 1 ustawy, pomimo dwukrotnego doręczenia </w:t>
            </w:r>
            <w:proofErr w:type="gramStart"/>
            <w:r>
              <w:rPr>
                <w:sz w:val="18"/>
              </w:rPr>
              <w:t>wezwania  w</w:t>
            </w:r>
            <w:proofErr w:type="gramEnd"/>
            <w:r>
              <w:rPr>
                <w:sz w:val="18"/>
              </w:rPr>
              <w:t xml:space="preserve">  </w:t>
            </w:r>
            <w:proofErr w:type="gramStart"/>
            <w:r>
              <w:rPr>
                <w:sz w:val="18"/>
              </w:rPr>
              <w:t>formie  pisemnej</w:t>
            </w:r>
            <w:proofErr w:type="gramEnd"/>
            <w:r>
              <w:rPr>
                <w:sz w:val="18"/>
              </w:rPr>
              <w:t xml:space="preserve"> lub drogą elektroniczną </w:t>
            </w:r>
            <w:proofErr w:type="gramStart"/>
            <w:r>
              <w:rPr>
                <w:sz w:val="18"/>
              </w:rPr>
              <w:t>w  odstępie</w:t>
            </w:r>
            <w:proofErr w:type="gramEnd"/>
            <w:r>
              <w:rPr>
                <w:sz w:val="18"/>
              </w:rPr>
              <w:t xml:space="preserve"> co najmniej 60 dni, chyba że niestawienie się Nabywcy jest spowodowane działaniem siły wyższej.  </w:t>
            </w:r>
          </w:p>
          <w:p w14:paraId="4C079F01" w14:textId="77777777" w:rsidR="004121B0" w:rsidRDefault="00016D35">
            <w:pPr>
              <w:numPr>
                <w:ilvl w:val="0"/>
                <w:numId w:val="5"/>
              </w:numPr>
              <w:spacing w:line="241" w:lineRule="auto"/>
              <w:ind w:right="21"/>
              <w:jc w:val="both"/>
            </w:pPr>
            <w:r>
              <w:rPr>
                <w:sz w:val="18"/>
              </w:rPr>
              <w:t xml:space="preserve">W przypadku zmiany powierzchni lokalu cena brutto może ulec zmianie proporcjonalnie do rzeczywistej powierzchni. W terminie 14 dni od otrzymania informacji o zmianie ceny Nabywca może złożyć oświadczenie o odstąpieniu od niniejszej umowy albo wyrazić wolę jej zawarcia, postanowienie to nie dotyczy sytuacji, gdy powierzchnia użytkowa lokalu ulegnie zmianie w wyniku prac wykonanych na zlecenie Nabywcy </w:t>
            </w:r>
          </w:p>
          <w:p w14:paraId="5B6BD316" w14:textId="77777777" w:rsidR="004121B0" w:rsidRDefault="00016D35">
            <w:r>
              <w:rPr>
                <w:sz w:val="18"/>
              </w:rPr>
              <w:t xml:space="preserve"> </w:t>
            </w:r>
          </w:p>
          <w:p w14:paraId="528DD825" w14:textId="77777777" w:rsidR="004121B0" w:rsidRDefault="00016D35">
            <w:r>
              <w:rPr>
                <w:sz w:val="18"/>
              </w:rPr>
              <w:t xml:space="preserve">Cena jest stała i może ulec zmianie jedynie wskutek:  </w:t>
            </w:r>
          </w:p>
          <w:p w14:paraId="26A9E586" w14:textId="77777777" w:rsidR="004121B0" w:rsidRDefault="00016D35">
            <w:pPr>
              <w:spacing w:after="1" w:line="241" w:lineRule="auto"/>
              <w:ind w:right="39"/>
              <w:jc w:val="both"/>
            </w:pPr>
            <w:r>
              <w:rPr>
                <w:sz w:val="18"/>
              </w:rPr>
              <w:t>a/ zmiany stawki podatku VAT na przedmiot umowy w wyniku zmiany powszechnie obowiązujących przepisów prawa i wówczas Nabywcy zobowiązani będą do stosownej dopłaty bądź będą uprawnieni do zwrotu ewentualnej różnicy, b/ zmiany powierzchni Lokalu Mieszkalnego wynikającego z pomiaru powierzchni użytkowej po wybudowaniu Budynku, przy czym obecnie powierzchnia została określona na podstawie dokumentacji projektowej, a powierzchnia po wybudowaniu Budynku zostanie obliczona zgodnie z normą: PN-ISO 9836/2011, z uwzględnieniem,  że powierzchnia użytkowa mieszkania uwzględnia metry kwadratowe pod ścianami rozbieralnymi (działowymi) wykluczając powierzchnię ścian ograniczających łazienkę , przy czym w razie wystąpienia różnicy między powierzchniami: projektową ustaloną powyżej i rozliczeniową ustaloną w drodze pomiaru z natury, będzie ona uwzględniona w ostatniej płatności na poczet ceny, przez doliczenie (nadwyżka) lub odliczenie (niedobór) kwoty wynikającej z pomnożenia tej różnicy powierzchni przez cenę za 1 m</w:t>
            </w:r>
            <w:r>
              <w:rPr>
                <w:sz w:val="18"/>
                <w:vertAlign w:val="superscript"/>
              </w:rPr>
              <w:t>2</w:t>
            </w:r>
            <w:r>
              <w:rPr>
                <w:sz w:val="18"/>
              </w:rPr>
              <w:t xml:space="preserve"> (jeden metr kwadratowy) Lokalu Mieszkalnego, określoną w Prospekcie Informacyjnym;  </w:t>
            </w:r>
          </w:p>
          <w:p w14:paraId="5ED7169A" w14:textId="77777777" w:rsidR="004121B0" w:rsidRDefault="00016D35">
            <w:pPr>
              <w:spacing w:after="1" w:line="240" w:lineRule="auto"/>
              <w:ind w:right="42"/>
              <w:jc w:val="both"/>
            </w:pPr>
            <w:r>
              <w:rPr>
                <w:sz w:val="18"/>
              </w:rPr>
              <w:t xml:space="preserve">2/ w przypadku zmiany ceny zgodnie </w:t>
            </w:r>
            <w:proofErr w:type="gramStart"/>
            <w:r>
              <w:rPr>
                <w:sz w:val="18"/>
              </w:rPr>
              <w:t>z  lit.</w:t>
            </w:r>
            <w:proofErr w:type="gramEnd"/>
            <w:r>
              <w:rPr>
                <w:sz w:val="18"/>
              </w:rPr>
              <w:t xml:space="preserve"> a/ i b/ powyżej, Deweloper niezwłocznie zawiadomi pisemnie Nabywców o zaistniałych zmianach, a zmiany powyższe nie będą wymagały aneksu do umowy deweloperskiej.  </w:t>
            </w:r>
          </w:p>
          <w:p w14:paraId="7C8AF260" w14:textId="77777777" w:rsidR="004121B0" w:rsidRDefault="00016D35">
            <w:r>
              <w:rPr>
                <w:sz w:val="18"/>
              </w:rPr>
              <w:t xml:space="preserve">Zmiana ceny Lokalu: </w:t>
            </w:r>
          </w:p>
          <w:p w14:paraId="7981444F" w14:textId="77777777" w:rsidR="004121B0" w:rsidRDefault="00016D35">
            <w:pPr>
              <w:spacing w:after="1" w:line="240" w:lineRule="auto"/>
              <w:ind w:right="38"/>
              <w:jc w:val="both"/>
            </w:pPr>
            <w:r>
              <w:rPr>
                <w:sz w:val="18"/>
              </w:rPr>
              <w:t xml:space="preserve">1/ jeżeli pomiędzy dniem zawarcia umowy deweloperskiej, a dniem zawarcia umowy ustanowienia odrębnej własności i przeniesienia własności, w wyniku zmiany powszechnie obowiązujących przepisów prawa cena ulegnie zmianie o kwotę wynikającą ze zmiany stawki podatku VAT, wówczas Nabywcy - w przypadku konieczności dokonania dopłaty – będą uprawnieni do odstąpienia od niniejszej umowy, w terminie 14 dni od daty otrzymania zawiadomienia o odpowiedniej korekcie ceny, w przypadku odstąpienia od umowy deweloperskiej z powodu okoliczności wynikających z pkt 1/ powyżej, uprawnienia wynikające z kary umownej nie przysługują;  </w:t>
            </w:r>
          </w:p>
          <w:p w14:paraId="6F267937" w14:textId="77777777" w:rsidR="004121B0" w:rsidRDefault="00016D35">
            <w:pPr>
              <w:spacing w:after="2" w:line="239" w:lineRule="auto"/>
              <w:ind w:right="40"/>
              <w:jc w:val="both"/>
            </w:pPr>
            <w:r>
              <w:rPr>
                <w:b/>
                <w:sz w:val="18"/>
              </w:rPr>
              <w:t xml:space="preserve">2/ </w:t>
            </w:r>
            <w:r>
              <w:rPr>
                <w:sz w:val="18"/>
              </w:rPr>
              <w:t xml:space="preserve">W przypadku, gdy rzeczywista powierzchnia Lokalu - na skutek różnic obmiarowych pomiędzy powierzchnią projektowaną a określoną w dokumentacji powykonawczej: </w:t>
            </w:r>
            <w:r>
              <w:rPr>
                <w:b/>
                <w:sz w:val="18"/>
              </w:rPr>
              <w:t>a/</w:t>
            </w:r>
            <w:r>
              <w:rPr>
                <w:sz w:val="18"/>
              </w:rPr>
              <w:t xml:space="preserve"> </w:t>
            </w:r>
            <w:r>
              <w:rPr>
                <w:b/>
                <w:sz w:val="18"/>
              </w:rPr>
              <w:t>będzie większa od projektowanej o nie więcej niż 2,5 %</w:t>
            </w:r>
            <w:r>
              <w:rPr>
                <w:sz w:val="18"/>
              </w:rPr>
              <w:t xml:space="preserve"> projektowanej powierzchni, ustalona Cena - według wyboru Dewelopera: </w:t>
            </w:r>
          </w:p>
          <w:p w14:paraId="32053030" w14:textId="77777777" w:rsidR="004121B0" w:rsidRDefault="00016D35">
            <w:pPr>
              <w:numPr>
                <w:ilvl w:val="0"/>
                <w:numId w:val="6"/>
              </w:numPr>
              <w:jc w:val="both"/>
            </w:pPr>
            <w:r>
              <w:rPr>
                <w:b/>
                <w:sz w:val="18"/>
              </w:rPr>
              <w:t>albo nie ulegnie zmianie</w:t>
            </w:r>
            <w:r>
              <w:rPr>
                <w:sz w:val="18"/>
              </w:rPr>
              <w:t xml:space="preserve">, </w:t>
            </w:r>
          </w:p>
          <w:p w14:paraId="0C1668FF" w14:textId="77777777" w:rsidR="004121B0" w:rsidRDefault="00016D35">
            <w:pPr>
              <w:numPr>
                <w:ilvl w:val="0"/>
                <w:numId w:val="6"/>
              </w:numPr>
              <w:spacing w:line="241" w:lineRule="auto"/>
              <w:jc w:val="both"/>
            </w:pPr>
            <w:r>
              <w:rPr>
                <w:b/>
                <w:sz w:val="18"/>
              </w:rPr>
              <w:t>albo ulegnie podwyższeniu</w:t>
            </w:r>
            <w:r>
              <w:rPr>
                <w:sz w:val="18"/>
              </w:rPr>
              <w:t xml:space="preserve"> o kwotę stanowiącą iloczyn liczby dodatkowych metrów kwadratowych powierzchni użytkowej Lokalu i ceny brutto za 1m</w:t>
            </w:r>
            <w:r>
              <w:rPr>
                <w:sz w:val="18"/>
                <w:vertAlign w:val="superscript"/>
              </w:rPr>
              <w:t>2</w:t>
            </w:r>
            <w:r>
              <w:rPr>
                <w:sz w:val="18"/>
              </w:rPr>
              <w:t xml:space="preserve"> powierzchni użytkowej Lokalu, przy czym w tym przypadku </w:t>
            </w:r>
            <w:r>
              <w:rPr>
                <w:b/>
                <w:sz w:val="18"/>
              </w:rPr>
              <w:t>Nabywca będzie uprawniony do odstąpienia od umowy deweloperskiej</w:t>
            </w:r>
            <w:r>
              <w:rPr>
                <w:sz w:val="18"/>
              </w:rPr>
              <w:t xml:space="preserve"> w terminie 14 dni od dnia poinformowania przez Dewelopera o ostatecznej powierzchni Lokalu wynikającej z dokumentacji powykonawczej oraz o obowiązku i kwocie dopłaty, zaś w razie nieskorzystania przez Nabywcę z prawa odstąpienia od umowy deweloperskiej na powyższej podstawie, Nabywca będzie zobowiązany do zapłaty na rzecz Dewelopera powyższej kwoty dopłaty do Ceny za tę dodatkową powierzchnię Lokalu; </w:t>
            </w:r>
            <w:r>
              <w:rPr>
                <w:b/>
                <w:sz w:val="18"/>
              </w:rPr>
              <w:t>b/</w:t>
            </w:r>
            <w:r>
              <w:rPr>
                <w:sz w:val="18"/>
              </w:rPr>
              <w:t xml:space="preserve"> </w:t>
            </w:r>
            <w:r>
              <w:rPr>
                <w:b/>
                <w:sz w:val="18"/>
              </w:rPr>
              <w:t xml:space="preserve">będzie mniejsza od projektowanej o nie więcej niż 2,5 % </w:t>
            </w:r>
            <w:r>
              <w:rPr>
                <w:sz w:val="18"/>
              </w:rPr>
              <w:t>projektowanej powierzchni - Deweloper będzie zobowiązany do obniżenia Ceny Lokalu o kwotę stanowiącą iloczyn liczby odjętych metrów kwadratowych powierzchni użytkowej Lokalu i ceny brutto za 1m</w:t>
            </w:r>
            <w:r>
              <w:rPr>
                <w:sz w:val="18"/>
                <w:vertAlign w:val="superscript"/>
              </w:rPr>
              <w:t>2</w:t>
            </w:r>
            <w:r>
              <w:rPr>
                <w:sz w:val="18"/>
              </w:rPr>
              <w:t xml:space="preserve"> powierzchni użytkowej Lokalu, </w:t>
            </w:r>
          </w:p>
          <w:p w14:paraId="52C6C405" w14:textId="77777777" w:rsidR="004121B0" w:rsidRDefault="00016D35">
            <w:pPr>
              <w:spacing w:line="240" w:lineRule="auto"/>
              <w:ind w:right="41"/>
              <w:jc w:val="both"/>
            </w:pPr>
            <w:r>
              <w:rPr>
                <w:b/>
                <w:sz w:val="18"/>
              </w:rPr>
              <w:t>c/</w:t>
            </w:r>
            <w:r>
              <w:rPr>
                <w:sz w:val="18"/>
              </w:rPr>
              <w:t xml:space="preserve"> </w:t>
            </w:r>
            <w:r>
              <w:rPr>
                <w:b/>
                <w:sz w:val="18"/>
              </w:rPr>
              <w:t>będzie większa albo mniejsza od projektowanej o więcej niż 2,5%</w:t>
            </w:r>
            <w:r>
              <w:rPr>
                <w:sz w:val="18"/>
              </w:rPr>
              <w:t xml:space="preserve"> powierzchni projektowanej - </w:t>
            </w:r>
            <w:r>
              <w:rPr>
                <w:b/>
                <w:sz w:val="18"/>
              </w:rPr>
              <w:t>Nabywca ma prawo do odstąpienia od niniejszej umowy</w:t>
            </w:r>
            <w:r>
              <w:rPr>
                <w:sz w:val="18"/>
              </w:rPr>
              <w:t xml:space="preserve">, przy czym nie dotyczy to sytuacji, gdy zwiększenie albo zmniejszenie tej powierzchni będzie wynikiem zleconych przez Nabywcę zmian lokatorskich, o ile zmiany takie zostaną zaakceptowane przez </w:t>
            </w:r>
            <w:r>
              <w:rPr>
                <w:sz w:val="18"/>
              </w:rPr>
              <w:lastRenderedPageBreak/>
              <w:t xml:space="preserve">Dewelopera. W razie nieskorzystania przez Nabywcę z powyższego prawa do odstąpienia od umowy </w:t>
            </w:r>
            <w:proofErr w:type="gramStart"/>
            <w:r>
              <w:rPr>
                <w:sz w:val="18"/>
              </w:rPr>
              <w:t>deweloperskiej,  Cena</w:t>
            </w:r>
            <w:proofErr w:type="gramEnd"/>
            <w:r>
              <w:rPr>
                <w:sz w:val="18"/>
              </w:rPr>
              <w:t xml:space="preserve"> Lokalu ulegnie odpowiednio; </w:t>
            </w:r>
          </w:p>
          <w:p w14:paraId="2E5AD54D" w14:textId="77777777" w:rsidR="004121B0" w:rsidRDefault="00016D35">
            <w:pPr>
              <w:numPr>
                <w:ilvl w:val="0"/>
                <w:numId w:val="6"/>
              </w:numPr>
              <w:jc w:val="both"/>
            </w:pPr>
            <w:r>
              <w:rPr>
                <w:sz w:val="18"/>
              </w:rPr>
              <w:t xml:space="preserve">podwyższeniu o kwotę stanowiącą iloczyn liczby dodatkowych metrów kwadratowych </w:t>
            </w:r>
          </w:p>
        </w:tc>
      </w:tr>
    </w:tbl>
    <w:p w14:paraId="6D5B3EA0" w14:textId="77777777" w:rsidR="004121B0" w:rsidRDefault="004121B0">
      <w:pPr>
        <w:spacing w:after="0"/>
        <w:ind w:left="-974" w:right="22"/>
      </w:pPr>
    </w:p>
    <w:tbl>
      <w:tblPr>
        <w:tblStyle w:val="TableGrid"/>
        <w:tblW w:w="10198" w:type="dxa"/>
        <w:tblInd w:w="4" w:type="dxa"/>
        <w:tblCellMar>
          <w:top w:w="41" w:type="dxa"/>
          <w:left w:w="19" w:type="dxa"/>
        </w:tblCellMar>
        <w:tblLook w:val="04A0" w:firstRow="1" w:lastRow="0" w:firstColumn="1" w:lastColumn="0" w:noHBand="0" w:noVBand="1"/>
      </w:tblPr>
      <w:tblGrid>
        <w:gridCol w:w="3199"/>
        <w:gridCol w:w="6999"/>
      </w:tblGrid>
      <w:tr w:rsidR="004121B0" w14:paraId="1346A9A3" w14:textId="77777777">
        <w:trPr>
          <w:trHeight w:val="5100"/>
        </w:trPr>
        <w:tc>
          <w:tcPr>
            <w:tcW w:w="3199" w:type="dxa"/>
            <w:tcBorders>
              <w:top w:val="single" w:sz="6" w:space="0" w:color="000000"/>
              <w:left w:val="single" w:sz="6" w:space="0" w:color="000000"/>
              <w:bottom w:val="single" w:sz="6" w:space="0" w:color="000000"/>
              <w:right w:val="single" w:sz="6" w:space="0" w:color="000000"/>
            </w:tcBorders>
            <w:shd w:val="clear" w:color="auto" w:fill="E0E0E0"/>
          </w:tcPr>
          <w:p w14:paraId="607E74A3" w14:textId="77777777" w:rsidR="004121B0" w:rsidRDefault="004121B0"/>
        </w:tc>
        <w:tc>
          <w:tcPr>
            <w:tcW w:w="6999" w:type="dxa"/>
            <w:tcBorders>
              <w:top w:val="single" w:sz="6" w:space="0" w:color="000000"/>
              <w:left w:val="single" w:sz="6" w:space="0" w:color="000000"/>
              <w:bottom w:val="single" w:sz="6" w:space="0" w:color="000000"/>
              <w:right w:val="single" w:sz="6" w:space="0" w:color="000000"/>
            </w:tcBorders>
          </w:tcPr>
          <w:p w14:paraId="6E4D7C6F" w14:textId="77777777" w:rsidR="004121B0" w:rsidRDefault="00016D35">
            <w:pPr>
              <w:ind w:left="22"/>
            </w:pPr>
            <w:r>
              <w:rPr>
                <w:sz w:val="18"/>
              </w:rPr>
              <w:t>powierzchni użytkowej Lokalu i ceny brutto za 1m</w:t>
            </w:r>
            <w:r>
              <w:rPr>
                <w:sz w:val="18"/>
                <w:vertAlign w:val="superscript"/>
              </w:rPr>
              <w:t>2</w:t>
            </w:r>
            <w:r>
              <w:rPr>
                <w:sz w:val="18"/>
              </w:rPr>
              <w:t xml:space="preserve"> powierzchni użytkowej Lokalu </w:t>
            </w:r>
            <w:proofErr w:type="gramStart"/>
            <w:r>
              <w:rPr>
                <w:sz w:val="18"/>
              </w:rPr>
              <w:t>albo,-</w:t>
            </w:r>
            <w:proofErr w:type="gramEnd"/>
            <w:r>
              <w:rPr>
                <w:sz w:val="18"/>
              </w:rPr>
              <w:t xml:space="preserve"> </w:t>
            </w:r>
          </w:p>
          <w:p w14:paraId="2DABABC1" w14:textId="77777777" w:rsidR="004121B0" w:rsidRDefault="00016D35">
            <w:pPr>
              <w:spacing w:line="241" w:lineRule="auto"/>
              <w:ind w:left="22" w:right="37"/>
              <w:jc w:val="both"/>
            </w:pPr>
            <w:r>
              <w:rPr>
                <w:sz w:val="18"/>
              </w:rPr>
              <w:t>- obniżeniu o kwotę stanowiącą iloczyn liczby odjętych metrów kwadratowych powierzchni użytkowej Lokalu i ceny brutto za 1m</w:t>
            </w:r>
            <w:r>
              <w:rPr>
                <w:sz w:val="18"/>
                <w:vertAlign w:val="superscript"/>
              </w:rPr>
              <w:t>2</w:t>
            </w:r>
            <w:r>
              <w:rPr>
                <w:sz w:val="18"/>
              </w:rPr>
              <w:t xml:space="preserve"> powierzchni użytkowej Lokalu. Odstąpienie od umowy deweloperskiej przez Nabywcę na podstawie powyższego zapisu pkt c/ będzie możliwe w terminie 14 dni od dnia poinformowania Nabywcę przez Dewelopera o wystąpieniu różnicy w powierzchni Lokalu wynikającej z dokumentacji powykonawczej oraz w przypadku zwiększenia powierzchni Lokalu - również o obowiązku i kwocie dopłaty do Ceny za tę dodatkową powierzchnię Lokalu. </w:t>
            </w:r>
          </w:p>
          <w:p w14:paraId="2DE8E7A7" w14:textId="77777777" w:rsidR="004121B0" w:rsidRDefault="00016D35">
            <w:pPr>
              <w:ind w:left="22"/>
            </w:pPr>
            <w:r>
              <w:rPr>
                <w:sz w:val="18"/>
              </w:rPr>
              <w:t xml:space="preserve"> </w:t>
            </w:r>
          </w:p>
          <w:p w14:paraId="5B0BB1A8" w14:textId="77777777" w:rsidR="004121B0" w:rsidRDefault="00016D35">
            <w:r>
              <w:rPr>
                <w:sz w:val="18"/>
              </w:rPr>
              <w:t xml:space="preserve">Warunki płatności w przypadku odstąpienia od umowy: </w:t>
            </w:r>
          </w:p>
          <w:p w14:paraId="6AAB5883" w14:textId="77777777" w:rsidR="004121B0" w:rsidRDefault="00016D35">
            <w:pPr>
              <w:numPr>
                <w:ilvl w:val="0"/>
                <w:numId w:val="7"/>
              </w:numPr>
              <w:spacing w:line="240" w:lineRule="auto"/>
              <w:ind w:right="36" w:hanging="22"/>
              <w:jc w:val="both"/>
            </w:pPr>
            <w:r>
              <w:rPr>
                <w:sz w:val="18"/>
              </w:rPr>
              <w:t xml:space="preserve">w przypadku </w:t>
            </w:r>
            <w:proofErr w:type="spellStart"/>
            <w:r>
              <w:rPr>
                <w:sz w:val="18"/>
              </w:rPr>
              <w:t>niezawarcia</w:t>
            </w:r>
            <w:proofErr w:type="spellEnd"/>
            <w:r>
              <w:rPr>
                <w:sz w:val="18"/>
              </w:rPr>
              <w:t xml:space="preserve"> umowy ustanowienia odrębnej własności lokalu i przeniesienia jego własności w wykonaniu umowy deweloperskiej w terminie określonym w § 4 umowy deweloperskiej z przyczyn leżących po stronie Nabywców, w szczególności po dwukrotnym niestawiennictwie Nabywców u notariusza w terminie wyznaczonym przez Dewelopera celem zawarcia umowy lub w razie odstąpienia od umowy przez Dewelopera zgodnie z § 10 ust. IV umowy deweloperskiej, Deweloper będzie uprawniony do otrzymania od Nabywców kary </w:t>
            </w:r>
          </w:p>
          <w:p w14:paraId="4A6F9BAA" w14:textId="77777777" w:rsidR="004121B0" w:rsidRDefault="00016D35">
            <w:pPr>
              <w:ind w:left="22"/>
            </w:pPr>
            <w:r>
              <w:rPr>
                <w:sz w:val="18"/>
              </w:rPr>
              <w:t xml:space="preserve">umownej w wysokości 10 % (dziesięć procent) ceny </w:t>
            </w:r>
            <w:proofErr w:type="gramStart"/>
            <w:r>
              <w:rPr>
                <w:sz w:val="18"/>
              </w:rPr>
              <w:t>brutto,-----------------------------------------</w:t>
            </w:r>
            <w:proofErr w:type="gramEnd"/>
            <w:r>
              <w:rPr>
                <w:sz w:val="18"/>
              </w:rPr>
              <w:t xml:space="preserve"> </w:t>
            </w:r>
          </w:p>
          <w:p w14:paraId="36B3AF30" w14:textId="77777777" w:rsidR="004121B0" w:rsidRDefault="00016D35">
            <w:pPr>
              <w:numPr>
                <w:ilvl w:val="0"/>
                <w:numId w:val="7"/>
              </w:numPr>
              <w:spacing w:after="35" w:line="240" w:lineRule="auto"/>
              <w:ind w:right="36" w:hanging="22"/>
              <w:jc w:val="both"/>
            </w:pPr>
            <w:r>
              <w:rPr>
                <w:sz w:val="18"/>
              </w:rPr>
              <w:t xml:space="preserve">w przypadku </w:t>
            </w:r>
            <w:proofErr w:type="spellStart"/>
            <w:r>
              <w:rPr>
                <w:sz w:val="18"/>
              </w:rPr>
              <w:t>niezawarcia</w:t>
            </w:r>
            <w:proofErr w:type="spellEnd"/>
            <w:r>
              <w:rPr>
                <w:sz w:val="18"/>
              </w:rPr>
              <w:t xml:space="preserve"> umowy ustanowienia odrębnej własności lokalu i przeniesienia jego własności w wykonaniu umowy deweloperskiej w terminie określonym w § 4 </w:t>
            </w:r>
            <w:proofErr w:type="gramStart"/>
            <w:r>
              <w:rPr>
                <w:sz w:val="18"/>
              </w:rPr>
              <w:t>tej</w:t>
            </w:r>
            <w:proofErr w:type="gramEnd"/>
            <w:r>
              <w:rPr>
                <w:sz w:val="18"/>
              </w:rPr>
              <w:t xml:space="preserve"> że umowy, z przyczyn leżących po stronie Dewelopera, Nabywcy będą uprawnieni do odstąpienia od umowy zgodnie z § 10 ust. I </w:t>
            </w:r>
            <w:proofErr w:type="spellStart"/>
            <w:r>
              <w:rPr>
                <w:sz w:val="18"/>
              </w:rPr>
              <w:t>ptk</w:t>
            </w:r>
            <w:proofErr w:type="spellEnd"/>
            <w:r>
              <w:rPr>
                <w:sz w:val="18"/>
              </w:rPr>
              <w:t xml:space="preserve"> 24 umowy deweloperskiej, i otrzymania od Dewelopera kary umownej w wysokości 10 % (dziesięć procent) ceny </w:t>
            </w:r>
            <w:proofErr w:type="gramStart"/>
            <w:r>
              <w:rPr>
                <w:sz w:val="18"/>
              </w:rPr>
              <w:t>brutto.------------------------------</w:t>
            </w:r>
            <w:proofErr w:type="gramEnd"/>
            <w:r>
              <w:rPr>
                <w:sz w:val="18"/>
              </w:rPr>
              <w:t xml:space="preserve"> </w:t>
            </w:r>
          </w:p>
          <w:p w14:paraId="26548387" w14:textId="77777777" w:rsidR="004121B0" w:rsidRDefault="00016D35">
            <w:r>
              <w:rPr>
                <w:rFonts w:ascii="Arial" w:eastAsia="Arial" w:hAnsi="Arial" w:cs="Arial"/>
              </w:rPr>
              <w:t xml:space="preserve"> </w:t>
            </w:r>
          </w:p>
        </w:tc>
      </w:tr>
      <w:tr w:rsidR="004121B0" w14:paraId="6094F299" w14:textId="77777777">
        <w:trPr>
          <w:trHeight w:val="727"/>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CCCCCC"/>
          </w:tcPr>
          <w:p w14:paraId="18E692A8" w14:textId="77777777" w:rsidR="004121B0" w:rsidRDefault="00016D35">
            <w:pPr>
              <w:ind w:left="49"/>
            </w:pPr>
            <w:r>
              <w:rPr>
                <w:rFonts w:ascii="Arial" w:eastAsia="Arial" w:hAnsi="Arial" w:cs="Arial"/>
                <w:b/>
                <w:sz w:val="19"/>
              </w:rPr>
              <w:t xml:space="preserve">INNE INFORMACJE </w:t>
            </w:r>
          </w:p>
        </w:tc>
      </w:tr>
      <w:tr w:rsidR="004121B0" w14:paraId="55A33609" w14:textId="77777777">
        <w:trPr>
          <w:trHeight w:val="2975"/>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E0E0E0"/>
          </w:tcPr>
          <w:p w14:paraId="4D2BC0EE" w14:textId="77777777" w:rsidR="004121B0" w:rsidRDefault="00016D35">
            <w:pPr>
              <w:spacing w:after="52" w:line="313" w:lineRule="auto"/>
              <w:ind w:left="49" w:right="92"/>
              <w:jc w:val="both"/>
            </w:pPr>
            <w:r>
              <w:rPr>
                <w:rFonts w:ascii="Arial" w:eastAsia="Arial" w:hAnsi="Arial" w:cs="Arial"/>
                <w:sz w:val="19"/>
              </w:rPr>
              <w:t xml:space="preserve">Informacja o zgodzie banku finansującego przedsięwzięcie deweloperskie lub jego część, bądź finansującego działalność dewelopera w przypadku zabezpieczenia kredytu na hipotece nieruchomości, na której jest realizowane przedsięwzięcie deweloperskie lub jego część, bądź też finansującego zakup tej nieruchomości lub jej części w przypadku równoczesnego ustanowienia zabezpieczenia hipotecznego — na </w:t>
            </w:r>
            <w:proofErr w:type="spellStart"/>
            <w:r>
              <w:rPr>
                <w:rFonts w:ascii="Arial" w:eastAsia="Arial" w:hAnsi="Arial" w:cs="Arial"/>
                <w:sz w:val="19"/>
              </w:rPr>
              <w:t>bezobciążeniowe</w:t>
            </w:r>
            <w:proofErr w:type="spellEnd"/>
            <w:r>
              <w:rPr>
                <w:rFonts w:ascii="Arial" w:eastAsia="Arial" w:hAnsi="Arial" w:cs="Arial"/>
                <w:sz w:val="19"/>
              </w:rPr>
              <w:t xml:space="preserve"> wyodrębnienie lokalu mieszkalnego i przeniesienie jego własności albo </w:t>
            </w:r>
            <w:proofErr w:type="spellStart"/>
            <w:r>
              <w:rPr>
                <w:rFonts w:ascii="Arial" w:eastAsia="Arial" w:hAnsi="Arial" w:cs="Arial"/>
                <w:sz w:val="19"/>
              </w:rPr>
              <w:t>bezobciążeniowe</w:t>
            </w:r>
            <w:proofErr w:type="spellEnd"/>
            <w:r>
              <w:rPr>
                <w:rFonts w:ascii="Arial" w:eastAsia="Arial" w:hAnsi="Arial" w:cs="Arial"/>
                <w:sz w:val="19"/>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w:t>
            </w:r>
          </w:p>
          <w:p w14:paraId="22955323" w14:textId="77777777" w:rsidR="004121B0" w:rsidRDefault="00016D35">
            <w:pPr>
              <w:ind w:left="49"/>
              <w:jc w:val="both"/>
            </w:pPr>
            <w:r>
              <w:rPr>
                <w:rFonts w:ascii="Arial" w:eastAsia="Arial" w:hAnsi="Arial" w:cs="Arial"/>
                <w:b/>
                <w:sz w:val="20"/>
              </w:rPr>
              <w:t>Śląski Bank Spółdzielczy SILESIA w Katowicach</w:t>
            </w:r>
            <w:r>
              <w:rPr>
                <w:rFonts w:ascii="Arial" w:eastAsia="Arial" w:hAnsi="Arial" w:cs="Arial"/>
                <w:b/>
                <w:sz w:val="19"/>
              </w:rPr>
              <w:t xml:space="preserve"> wydaje promesę o </w:t>
            </w:r>
            <w:proofErr w:type="spellStart"/>
            <w:r>
              <w:rPr>
                <w:rFonts w:ascii="Arial" w:eastAsia="Arial" w:hAnsi="Arial" w:cs="Arial"/>
                <w:b/>
                <w:sz w:val="19"/>
              </w:rPr>
              <w:t>bezciężarowym</w:t>
            </w:r>
            <w:proofErr w:type="spellEnd"/>
            <w:r>
              <w:rPr>
                <w:rFonts w:ascii="Arial" w:eastAsia="Arial" w:hAnsi="Arial" w:cs="Arial"/>
                <w:b/>
                <w:sz w:val="19"/>
              </w:rPr>
              <w:t xml:space="preserve"> wyodrębnieniu nieruchomości po wpłacie przez nabywcę pełnej ceny na Mieszkaniowy Rachunek Powierniczy Otwarty. </w:t>
            </w:r>
          </w:p>
        </w:tc>
      </w:tr>
      <w:tr w:rsidR="004121B0" w14:paraId="6B529532" w14:textId="77777777">
        <w:trPr>
          <w:trHeight w:val="3248"/>
        </w:trPr>
        <w:tc>
          <w:tcPr>
            <w:tcW w:w="10198" w:type="dxa"/>
            <w:gridSpan w:val="2"/>
            <w:tcBorders>
              <w:top w:val="single" w:sz="6" w:space="0" w:color="000000"/>
              <w:left w:val="single" w:sz="6" w:space="0" w:color="000000"/>
              <w:bottom w:val="nil"/>
              <w:right w:val="single" w:sz="6" w:space="0" w:color="000000"/>
            </w:tcBorders>
            <w:shd w:val="clear" w:color="auto" w:fill="E0E0E0"/>
          </w:tcPr>
          <w:p w14:paraId="715CECAE" w14:textId="77777777" w:rsidR="004121B0" w:rsidRDefault="00016D35">
            <w:pPr>
              <w:spacing w:after="39" w:line="288" w:lineRule="auto"/>
              <w:ind w:left="49"/>
              <w:jc w:val="both"/>
            </w:pPr>
            <w:r>
              <w:rPr>
                <w:rFonts w:ascii="Arial" w:eastAsia="Arial" w:hAnsi="Arial" w:cs="Arial"/>
                <w:sz w:val="19"/>
              </w:rPr>
              <w:t xml:space="preserve">Informacja o możliwości zapoznania się w lokalu przedsiębiorstwa przez osobę zainteresowaną zawarciem umowy deweloperskiej z: </w:t>
            </w:r>
          </w:p>
          <w:p w14:paraId="14F0C141" w14:textId="77777777" w:rsidR="004121B0" w:rsidRDefault="00016D35">
            <w:pPr>
              <w:numPr>
                <w:ilvl w:val="0"/>
                <w:numId w:val="8"/>
              </w:numPr>
              <w:spacing w:after="55"/>
            </w:pPr>
            <w:r>
              <w:rPr>
                <w:rFonts w:ascii="Arial" w:eastAsia="Arial" w:hAnsi="Arial" w:cs="Arial"/>
                <w:sz w:val="19"/>
              </w:rPr>
              <w:t xml:space="preserve">aktualnym stanem księgi wieczystej prowadzonej dla nieruchomości; </w:t>
            </w:r>
          </w:p>
          <w:p w14:paraId="73329FC5" w14:textId="77777777" w:rsidR="004121B0" w:rsidRDefault="00016D35">
            <w:pPr>
              <w:numPr>
                <w:ilvl w:val="0"/>
                <w:numId w:val="8"/>
              </w:numPr>
              <w:spacing w:after="48"/>
            </w:pPr>
            <w:r>
              <w:rPr>
                <w:rFonts w:ascii="Arial" w:eastAsia="Arial" w:hAnsi="Arial" w:cs="Arial"/>
                <w:sz w:val="19"/>
              </w:rPr>
              <w:t xml:space="preserve">kopią aktualnego odpisu z Krajowego Rejestru Sądowego, jeśli podmiot podlega wpisowi do Krajowego Rejestru </w:t>
            </w:r>
          </w:p>
          <w:p w14:paraId="78283B81" w14:textId="77777777" w:rsidR="004121B0" w:rsidRDefault="00016D35">
            <w:pPr>
              <w:spacing w:after="24"/>
              <w:ind w:right="95"/>
              <w:jc w:val="right"/>
            </w:pPr>
            <w:r>
              <w:rPr>
                <w:rFonts w:ascii="Arial" w:eastAsia="Arial" w:hAnsi="Arial" w:cs="Arial"/>
                <w:sz w:val="19"/>
              </w:rPr>
              <w:t xml:space="preserve">Sądowego lub aktualnym zaświadczeniem o wpisie do Centralnej Ewidencji i Informacji o Działalności </w:t>
            </w:r>
          </w:p>
          <w:p w14:paraId="3A7FB648" w14:textId="77777777" w:rsidR="004121B0" w:rsidRDefault="00016D35">
            <w:pPr>
              <w:spacing w:after="56"/>
              <w:ind w:left="292"/>
            </w:pPr>
            <w:r>
              <w:rPr>
                <w:rFonts w:ascii="Arial" w:eastAsia="Arial" w:hAnsi="Arial" w:cs="Arial"/>
                <w:sz w:val="19"/>
              </w:rPr>
              <w:t xml:space="preserve">Gospodarczej; </w:t>
            </w:r>
          </w:p>
          <w:p w14:paraId="5080A9B8" w14:textId="77777777" w:rsidR="004121B0" w:rsidRDefault="00016D35">
            <w:pPr>
              <w:numPr>
                <w:ilvl w:val="0"/>
                <w:numId w:val="8"/>
              </w:numPr>
              <w:spacing w:after="45"/>
            </w:pPr>
            <w:r>
              <w:rPr>
                <w:rFonts w:ascii="Arial" w:eastAsia="Arial" w:hAnsi="Arial" w:cs="Arial"/>
                <w:sz w:val="19"/>
              </w:rPr>
              <w:t xml:space="preserve">kopią pozwolenia na budowę; </w:t>
            </w:r>
          </w:p>
          <w:p w14:paraId="72FBCF35" w14:textId="77777777" w:rsidR="004121B0" w:rsidRDefault="00016D35">
            <w:pPr>
              <w:numPr>
                <w:ilvl w:val="0"/>
                <w:numId w:val="8"/>
              </w:numPr>
              <w:spacing w:line="310" w:lineRule="auto"/>
            </w:pPr>
            <w:r>
              <w:rPr>
                <w:rFonts w:ascii="Arial" w:eastAsia="Arial" w:hAnsi="Arial" w:cs="Arial"/>
                <w:sz w:val="19"/>
              </w:rPr>
              <w:t xml:space="preserve">sprawozdaniem finansowym dewelopera za ostatnie dwa lata, a w przypadku realizacji inwestycji przez spółkę celową — sprawozdaniem spółki dominującej; 5) projektem architektoniczno-budowlanym: </w:t>
            </w:r>
          </w:p>
          <w:p w14:paraId="41491C84" w14:textId="77777777" w:rsidR="004121B0" w:rsidRDefault="00016D35">
            <w:pPr>
              <w:spacing w:after="61"/>
              <w:ind w:left="49"/>
            </w:pPr>
            <w:r>
              <w:rPr>
                <w:rFonts w:ascii="Arial" w:eastAsia="Arial" w:hAnsi="Arial" w:cs="Arial"/>
                <w:sz w:val="19"/>
              </w:rPr>
              <w:t xml:space="preserve"> </w:t>
            </w:r>
          </w:p>
          <w:p w14:paraId="2CD7BBF6" w14:textId="77777777" w:rsidR="004121B0" w:rsidRDefault="00016D35">
            <w:pPr>
              <w:ind w:left="49"/>
            </w:pPr>
            <w:r>
              <w:rPr>
                <w:rFonts w:ascii="Arial" w:eastAsia="Arial" w:hAnsi="Arial" w:cs="Arial"/>
                <w:sz w:val="19"/>
              </w:rPr>
              <w:t xml:space="preserve">Wyżej opisana dokumentacja znajduje się w siedzibie Dewelopera: Dąbrowa Górnicza ul. Graniczna 34B/U24. </w:t>
            </w:r>
          </w:p>
        </w:tc>
      </w:tr>
    </w:tbl>
    <w:p w14:paraId="5A328E48" w14:textId="77777777" w:rsidR="004121B0" w:rsidRDefault="00016D35">
      <w:pPr>
        <w:spacing w:after="0"/>
        <w:ind w:left="103"/>
        <w:jc w:val="both"/>
      </w:pPr>
      <w:r>
        <w:rPr>
          <w:noProof/>
        </w:rPr>
        <mc:AlternateContent>
          <mc:Choice Requires="wpg">
            <w:drawing>
              <wp:anchor distT="0" distB="0" distL="114300" distR="114300" simplePos="0" relativeHeight="251659264" behindDoc="0" locked="0" layoutInCell="1" allowOverlap="1" wp14:anchorId="591F57B8" wp14:editId="22751000">
                <wp:simplePos x="0" y="0"/>
                <wp:positionH relativeFrom="page">
                  <wp:posOffset>341376</wp:posOffset>
                </wp:positionH>
                <wp:positionV relativeFrom="page">
                  <wp:posOffset>6691249</wp:posOffset>
                </wp:positionV>
                <wp:extent cx="9144" cy="146304"/>
                <wp:effectExtent l="0" t="0" r="0" b="0"/>
                <wp:wrapTopAndBottom/>
                <wp:docPr id="25312" name="Group 25312"/>
                <wp:cNvGraphicFramePr/>
                <a:graphic xmlns:a="http://schemas.openxmlformats.org/drawingml/2006/main">
                  <a:graphicData uri="http://schemas.microsoft.com/office/word/2010/wordprocessingGroup">
                    <wpg:wgp>
                      <wpg:cNvGrpSpPr/>
                      <wpg:grpSpPr>
                        <a:xfrm>
                          <a:off x="0" y="0"/>
                          <a:ext cx="9144" cy="146304"/>
                          <a:chOff x="0" y="0"/>
                          <a:chExt cx="9144" cy="146304"/>
                        </a:xfrm>
                      </wpg:grpSpPr>
                      <wps:wsp>
                        <wps:cNvPr id="26516" name="Shape 26516"/>
                        <wps:cNvSpPr/>
                        <wps:spPr>
                          <a:xfrm>
                            <a:off x="0"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312" style="width:0.719999pt;height:11.52pt;position:absolute;mso-position-horizontal-relative:page;mso-position-horizontal:absolute;margin-left:26.88pt;mso-position-vertical-relative:page;margin-top:526.87pt;" coordsize="91,1463">
                <v:shape id="Shape 26517" style="position:absolute;width:91;height:1463;left:0;top:0;" coordsize="9144,146304" path="m0,0l9144,0l9144,146304l0,14630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0"/>
        </w:rPr>
        <w:t xml:space="preserve"> </w:t>
      </w:r>
    </w:p>
    <w:tbl>
      <w:tblPr>
        <w:tblStyle w:val="TableGrid"/>
        <w:tblW w:w="10206" w:type="dxa"/>
        <w:tblInd w:w="-1" w:type="dxa"/>
        <w:tblCellMar>
          <w:top w:w="47" w:type="dxa"/>
          <w:left w:w="40" w:type="dxa"/>
          <w:right w:w="1" w:type="dxa"/>
        </w:tblCellMar>
        <w:tblLook w:val="04A0" w:firstRow="1" w:lastRow="0" w:firstColumn="1" w:lastColumn="0" w:noHBand="0" w:noVBand="1"/>
      </w:tblPr>
      <w:tblGrid>
        <w:gridCol w:w="3204"/>
        <w:gridCol w:w="3159"/>
        <w:gridCol w:w="3843"/>
      </w:tblGrid>
      <w:tr w:rsidR="004121B0" w14:paraId="6674C418" w14:textId="77777777">
        <w:trPr>
          <w:trHeight w:val="307"/>
        </w:trPr>
        <w:tc>
          <w:tcPr>
            <w:tcW w:w="6363" w:type="dxa"/>
            <w:gridSpan w:val="2"/>
            <w:tcBorders>
              <w:top w:val="nil"/>
              <w:left w:val="single" w:sz="6" w:space="0" w:color="000000"/>
              <w:bottom w:val="single" w:sz="6" w:space="0" w:color="000000"/>
              <w:right w:val="nil"/>
            </w:tcBorders>
          </w:tcPr>
          <w:p w14:paraId="60894861" w14:textId="77777777" w:rsidR="004121B0" w:rsidRDefault="00016D35">
            <w:pPr>
              <w:ind w:left="4"/>
            </w:pPr>
            <w:r>
              <w:rPr>
                <w:rFonts w:ascii="Arial" w:eastAsia="Arial" w:hAnsi="Arial" w:cs="Arial"/>
              </w:rPr>
              <w:t xml:space="preserve"> </w:t>
            </w:r>
          </w:p>
        </w:tc>
        <w:tc>
          <w:tcPr>
            <w:tcW w:w="3843" w:type="dxa"/>
            <w:tcBorders>
              <w:top w:val="nil"/>
              <w:left w:val="nil"/>
              <w:bottom w:val="single" w:sz="6" w:space="0" w:color="000000"/>
              <w:right w:val="single" w:sz="6" w:space="0" w:color="000000"/>
            </w:tcBorders>
          </w:tcPr>
          <w:p w14:paraId="0DAAA47B" w14:textId="77777777" w:rsidR="004121B0" w:rsidRDefault="004121B0"/>
        </w:tc>
      </w:tr>
      <w:tr w:rsidR="004121B0" w14:paraId="7A02181D" w14:textId="77777777">
        <w:trPr>
          <w:trHeight w:val="643"/>
        </w:trPr>
        <w:tc>
          <w:tcPr>
            <w:tcW w:w="6363" w:type="dxa"/>
            <w:gridSpan w:val="2"/>
            <w:tcBorders>
              <w:top w:val="single" w:sz="6" w:space="0" w:color="000000"/>
              <w:left w:val="single" w:sz="4" w:space="0" w:color="000000"/>
              <w:bottom w:val="single" w:sz="6" w:space="0" w:color="000000"/>
              <w:right w:val="nil"/>
            </w:tcBorders>
            <w:vAlign w:val="center"/>
          </w:tcPr>
          <w:p w14:paraId="2893BC83" w14:textId="77777777" w:rsidR="004121B0" w:rsidRDefault="00016D35">
            <w:pPr>
              <w:ind w:left="2"/>
            </w:pPr>
            <w:r>
              <w:rPr>
                <w:rFonts w:ascii="Arial" w:eastAsia="Arial" w:hAnsi="Arial" w:cs="Arial"/>
                <w:b/>
                <w:sz w:val="19"/>
              </w:rPr>
              <w:lastRenderedPageBreak/>
              <w:t xml:space="preserve">CZĘŚĆ INDYWIDUALNA </w:t>
            </w:r>
          </w:p>
        </w:tc>
        <w:tc>
          <w:tcPr>
            <w:tcW w:w="3843" w:type="dxa"/>
            <w:tcBorders>
              <w:top w:val="single" w:sz="6" w:space="0" w:color="000000"/>
              <w:left w:val="nil"/>
              <w:bottom w:val="single" w:sz="6" w:space="0" w:color="000000"/>
              <w:right w:val="single" w:sz="4" w:space="0" w:color="000000"/>
            </w:tcBorders>
          </w:tcPr>
          <w:p w14:paraId="46B3C7BA" w14:textId="77777777" w:rsidR="004121B0" w:rsidRDefault="004121B0"/>
        </w:tc>
      </w:tr>
      <w:tr w:rsidR="004121B0" w14:paraId="62E3D35B" w14:textId="77777777">
        <w:trPr>
          <w:trHeight w:val="641"/>
        </w:trPr>
        <w:tc>
          <w:tcPr>
            <w:tcW w:w="3204" w:type="dxa"/>
            <w:tcBorders>
              <w:top w:val="single" w:sz="6" w:space="0" w:color="000000"/>
              <w:left w:val="single" w:sz="6" w:space="0" w:color="000000"/>
              <w:bottom w:val="single" w:sz="6" w:space="0" w:color="000000"/>
              <w:right w:val="single" w:sz="6" w:space="0" w:color="000000"/>
            </w:tcBorders>
            <w:shd w:val="clear" w:color="auto" w:fill="E0E0E0"/>
          </w:tcPr>
          <w:p w14:paraId="3D63FFCE" w14:textId="77777777" w:rsidR="004121B0" w:rsidRDefault="00016D35">
            <w:pPr>
              <w:ind w:left="33"/>
            </w:pPr>
            <w:r>
              <w:rPr>
                <w:rFonts w:ascii="Arial" w:eastAsia="Arial" w:hAnsi="Arial" w:cs="Arial"/>
                <w:sz w:val="19"/>
              </w:rPr>
              <w:t>Cena m</w:t>
            </w:r>
            <w:r>
              <w:rPr>
                <w:rFonts w:ascii="Arial" w:eastAsia="Arial" w:hAnsi="Arial" w:cs="Arial"/>
                <w:sz w:val="19"/>
                <w:vertAlign w:val="superscript"/>
              </w:rPr>
              <w:t>2</w:t>
            </w:r>
            <w:r>
              <w:rPr>
                <w:rFonts w:ascii="Arial" w:eastAsia="Arial" w:hAnsi="Arial" w:cs="Arial"/>
                <w:sz w:val="19"/>
              </w:rPr>
              <w:t xml:space="preserve"> powierzchni lokalu mieszkalnego lub domu jednorodzinnego </w:t>
            </w:r>
          </w:p>
        </w:tc>
        <w:tc>
          <w:tcPr>
            <w:tcW w:w="3158" w:type="dxa"/>
            <w:tcBorders>
              <w:top w:val="single" w:sz="6" w:space="0" w:color="000000"/>
              <w:left w:val="single" w:sz="6" w:space="0" w:color="000000"/>
              <w:bottom w:val="single" w:sz="6" w:space="0" w:color="000000"/>
              <w:right w:val="nil"/>
            </w:tcBorders>
          </w:tcPr>
          <w:p w14:paraId="405951A3" w14:textId="47D67E88" w:rsidR="004121B0" w:rsidRDefault="00016D35">
            <w:r>
              <w:rPr>
                <w:rFonts w:ascii="Arial" w:eastAsia="Arial" w:hAnsi="Arial" w:cs="Arial"/>
              </w:rPr>
              <w:t xml:space="preserve"> </w:t>
            </w:r>
            <w:r w:rsidR="005B00D2">
              <w:rPr>
                <w:rFonts w:ascii="Arial" w:eastAsia="Arial" w:hAnsi="Arial" w:cs="Arial"/>
              </w:rPr>
              <w:t>………………</w:t>
            </w:r>
            <w:r>
              <w:rPr>
                <w:rFonts w:ascii="Arial" w:eastAsia="Arial" w:hAnsi="Arial" w:cs="Arial"/>
              </w:rPr>
              <w:t xml:space="preserve"> </w:t>
            </w:r>
            <w:r w:rsidR="005B00D2">
              <w:rPr>
                <w:rFonts w:ascii="Arial" w:eastAsia="Arial" w:hAnsi="Arial" w:cs="Arial"/>
              </w:rPr>
              <w:t>zł</w:t>
            </w:r>
            <w:r>
              <w:rPr>
                <w:rFonts w:ascii="Arial" w:eastAsia="Arial" w:hAnsi="Arial" w:cs="Arial"/>
              </w:rPr>
              <w:t xml:space="preserve"> </w:t>
            </w:r>
          </w:p>
        </w:tc>
        <w:tc>
          <w:tcPr>
            <w:tcW w:w="3843" w:type="dxa"/>
            <w:tcBorders>
              <w:top w:val="single" w:sz="6" w:space="0" w:color="000000"/>
              <w:left w:val="nil"/>
              <w:bottom w:val="single" w:sz="6" w:space="0" w:color="000000"/>
              <w:right w:val="single" w:sz="6" w:space="0" w:color="000000"/>
            </w:tcBorders>
          </w:tcPr>
          <w:p w14:paraId="3D9D9EDA" w14:textId="77777777" w:rsidR="004121B0" w:rsidRDefault="004121B0"/>
        </w:tc>
      </w:tr>
      <w:tr w:rsidR="004121B0" w14:paraId="5D1C1B51" w14:textId="77777777">
        <w:trPr>
          <w:trHeight w:val="614"/>
        </w:trPr>
        <w:tc>
          <w:tcPr>
            <w:tcW w:w="3204" w:type="dxa"/>
            <w:vMerge w:val="restart"/>
            <w:tcBorders>
              <w:top w:val="single" w:sz="6" w:space="0" w:color="000000"/>
              <w:left w:val="single" w:sz="6" w:space="0" w:color="000000"/>
              <w:bottom w:val="single" w:sz="4" w:space="0" w:color="000000"/>
              <w:right w:val="single" w:sz="6" w:space="0" w:color="000000"/>
            </w:tcBorders>
            <w:shd w:val="clear" w:color="auto" w:fill="E0E0E0"/>
          </w:tcPr>
          <w:p w14:paraId="593032CF" w14:textId="77777777" w:rsidR="004121B0" w:rsidRDefault="00016D35">
            <w:pPr>
              <w:spacing w:line="307" w:lineRule="auto"/>
              <w:ind w:left="33" w:right="94"/>
              <w:jc w:val="both"/>
            </w:pPr>
            <w:r>
              <w:rPr>
                <w:rFonts w:ascii="Arial" w:eastAsia="Arial" w:hAnsi="Arial" w:cs="Arial"/>
                <w:sz w:val="19"/>
              </w:rPr>
              <w:t xml:space="preserve">Określenie położenia oraz istotnych cech domu jednorodzinnego będącego przedmiotem umowy deweloperskiej lub </w:t>
            </w:r>
            <w:proofErr w:type="gramStart"/>
            <w:r>
              <w:rPr>
                <w:rFonts w:ascii="Arial" w:eastAsia="Arial" w:hAnsi="Arial" w:cs="Arial"/>
                <w:sz w:val="19"/>
              </w:rPr>
              <w:t>budynku</w:t>
            </w:r>
            <w:proofErr w:type="gramEnd"/>
            <w:r>
              <w:rPr>
                <w:rFonts w:ascii="Arial" w:eastAsia="Arial" w:hAnsi="Arial" w:cs="Arial"/>
                <w:sz w:val="19"/>
              </w:rPr>
              <w:t xml:space="preserve"> w którym ma znajdować się lokal </w:t>
            </w:r>
            <w:proofErr w:type="spellStart"/>
            <w:r>
              <w:rPr>
                <w:rFonts w:ascii="Arial" w:eastAsia="Arial" w:hAnsi="Arial" w:cs="Arial"/>
                <w:sz w:val="19"/>
              </w:rPr>
              <w:t>miesz-kalny</w:t>
            </w:r>
            <w:proofErr w:type="spellEnd"/>
            <w:r>
              <w:rPr>
                <w:rFonts w:ascii="Arial" w:eastAsia="Arial" w:hAnsi="Arial" w:cs="Arial"/>
                <w:sz w:val="19"/>
              </w:rPr>
              <w:t xml:space="preserve"> będący przedmiotem </w:t>
            </w:r>
          </w:p>
          <w:p w14:paraId="291A067E" w14:textId="77777777" w:rsidR="004121B0" w:rsidRDefault="00016D35">
            <w:pPr>
              <w:ind w:left="33"/>
            </w:pPr>
            <w:r>
              <w:rPr>
                <w:rFonts w:ascii="Arial" w:eastAsia="Arial" w:hAnsi="Arial" w:cs="Arial"/>
                <w:sz w:val="19"/>
              </w:rPr>
              <w:t xml:space="preserve">umowy deweloperskiej </w:t>
            </w:r>
          </w:p>
        </w:tc>
        <w:tc>
          <w:tcPr>
            <w:tcW w:w="3158" w:type="dxa"/>
            <w:tcBorders>
              <w:top w:val="single" w:sz="6" w:space="0" w:color="000000"/>
              <w:left w:val="single" w:sz="6" w:space="0" w:color="000000"/>
              <w:bottom w:val="single" w:sz="6" w:space="0" w:color="000000"/>
              <w:right w:val="single" w:sz="4" w:space="0" w:color="000000"/>
            </w:tcBorders>
          </w:tcPr>
          <w:p w14:paraId="6677DAB3" w14:textId="77777777" w:rsidR="004121B0" w:rsidRDefault="00016D35">
            <w:pPr>
              <w:ind w:left="29"/>
            </w:pPr>
            <w:r>
              <w:rPr>
                <w:rFonts w:ascii="Arial" w:eastAsia="Arial" w:hAnsi="Arial" w:cs="Arial"/>
                <w:sz w:val="19"/>
              </w:rPr>
              <w:t xml:space="preserve">liczba kondygnacji  </w:t>
            </w:r>
          </w:p>
        </w:tc>
        <w:tc>
          <w:tcPr>
            <w:tcW w:w="3843" w:type="dxa"/>
            <w:tcBorders>
              <w:top w:val="single" w:sz="6" w:space="0" w:color="000000"/>
              <w:left w:val="single" w:sz="4" w:space="0" w:color="000000"/>
              <w:bottom w:val="single" w:sz="6" w:space="0" w:color="000000"/>
              <w:right w:val="single" w:sz="6" w:space="0" w:color="000000"/>
            </w:tcBorders>
          </w:tcPr>
          <w:p w14:paraId="1F0DF772" w14:textId="77777777" w:rsidR="004121B0" w:rsidRDefault="00016D35">
            <w:pPr>
              <w:spacing w:after="26"/>
              <w:ind w:left="1"/>
              <w:jc w:val="both"/>
            </w:pPr>
            <w:r>
              <w:rPr>
                <w:rFonts w:ascii="Arial" w:eastAsia="Arial" w:hAnsi="Arial" w:cs="Arial"/>
              </w:rPr>
              <w:t xml:space="preserve">1 kondygnacja podziemna - garażowa </w:t>
            </w:r>
          </w:p>
          <w:p w14:paraId="75DA91E6" w14:textId="77777777" w:rsidR="004121B0" w:rsidRDefault="00016D35">
            <w:pPr>
              <w:ind w:left="1"/>
            </w:pPr>
            <w:r>
              <w:rPr>
                <w:rFonts w:ascii="Arial" w:eastAsia="Arial" w:hAnsi="Arial" w:cs="Arial"/>
              </w:rPr>
              <w:t xml:space="preserve">9 kondygnacji naziemnych </w:t>
            </w:r>
          </w:p>
        </w:tc>
      </w:tr>
      <w:tr w:rsidR="004121B0" w14:paraId="3555F538" w14:textId="77777777">
        <w:trPr>
          <w:trHeight w:val="11815"/>
        </w:trPr>
        <w:tc>
          <w:tcPr>
            <w:tcW w:w="0" w:type="auto"/>
            <w:vMerge/>
            <w:tcBorders>
              <w:top w:val="nil"/>
              <w:left w:val="single" w:sz="6" w:space="0" w:color="000000"/>
              <w:bottom w:val="single" w:sz="4" w:space="0" w:color="000000"/>
              <w:right w:val="single" w:sz="6" w:space="0" w:color="000000"/>
            </w:tcBorders>
          </w:tcPr>
          <w:p w14:paraId="1A50C885" w14:textId="77777777" w:rsidR="004121B0" w:rsidRDefault="004121B0"/>
        </w:tc>
        <w:tc>
          <w:tcPr>
            <w:tcW w:w="3158" w:type="dxa"/>
            <w:tcBorders>
              <w:top w:val="single" w:sz="6" w:space="0" w:color="000000"/>
              <w:left w:val="single" w:sz="6" w:space="0" w:color="000000"/>
              <w:bottom w:val="single" w:sz="6" w:space="0" w:color="000000"/>
              <w:right w:val="single" w:sz="4" w:space="0" w:color="000000"/>
            </w:tcBorders>
          </w:tcPr>
          <w:p w14:paraId="282964D8" w14:textId="77777777" w:rsidR="004121B0" w:rsidRDefault="00016D35">
            <w:pPr>
              <w:ind w:left="29"/>
            </w:pPr>
            <w:r>
              <w:rPr>
                <w:rFonts w:ascii="Arial" w:eastAsia="Arial" w:hAnsi="Arial" w:cs="Arial"/>
                <w:sz w:val="19"/>
              </w:rPr>
              <w:t xml:space="preserve">Technologia wykonania </w:t>
            </w:r>
          </w:p>
        </w:tc>
        <w:tc>
          <w:tcPr>
            <w:tcW w:w="3843" w:type="dxa"/>
            <w:tcBorders>
              <w:top w:val="single" w:sz="6" w:space="0" w:color="000000"/>
              <w:left w:val="single" w:sz="4" w:space="0" w:color="000000"/>
              <w:bottom w:val="single" w:sz="6" w:space="0" w:color="000000"/>
              <w:right w:val="single" w:sz="6" w:space="0" w:color="000000"/>
            </w:tcBorders>
          </w:tcPr>
          <w:p w14:paraId="570E73BB" w14:textId="77777777" w:rsidR="004121B0" w:rsidRDefault="00016D35">
            <w:pPr>
              <w:ind w:left="1"/>
            </w:pPr>
            <w:r>
              <w:rPr>
                <w:rFonts w:ascii="Arial" w:eastAsia="Arial" w:hAnsi="Arial" w:cs="Arial"/>
                <w:sz w:val="20"/>
              </w:rPr>
              <w:t xml:space="preserve">Fundamenty: Żelbetowe  </w:t>
            </w:r>
          </w:p>
          <w:p w14:paraId="607AAECA" w14:textId="2931615F" w:rsidR="004121B0" w:rsidRDefault="00016D35">
            <w:pPr>
              <w:spacing w:after="1" w:line="276" w:lineRule="auto"/>
              <w:ind w:left="1"/>
              <w:jc w:val="both"/>
            </w:pPr>
            <w:r>
              <w:rPr>
                <w:rFonts w:ascii="Arial" w:eastAsia="Arial" w:hAnsi="Arial" w:cs="Arial"/>
                <w:sz w:val="20"/>
              </w:rPr>
              <w:t xml:space="preserve">Konstrukcja </w:t>
            </w:r>
            <w:r w:rsidR="005B00D2">
              <w:rPr>
                <w:rFonts w:ascii="Arial" w:eastAsia="Arial" w:hAnsi="Arial" w:cs="Arial"/>
                <w:sz w:val="20"/>
              </w:rPr>
              <w:t>budynku: technologia</w:t>
            </w:r>
            <w:r>
              <w:rPr>
                <w:rFonts w:ascii="Arial" w:eastAsia="Arial" w:hAnsi="Arial" w:cs="Arial"/>
                <w:sz w:val="20"/>
              </w:rPr>
              <w:t xml:space="preserve"> monolityczna żelbetowa.  </w:t>
            </w:r>
          </w:p>
          <w:p w14:paraId="5D905DC3" w14:textId="77777777" w:rsidR="004121B0" w:rsidRDefault="00016D35">
            <w:pPr>
              <w:spacing w:after="9"/>
              <w:ind w:left="1"/>
            </w:pPr>
            <w:r>
              <w:rPr>
                <w:rFonts w:ascii="Arial" w:eastAsia="Arial" w:hAnsi="Arial" w:cs="Arial"/>
                <w:sz w:val="20"/>
              </w:rPr>
              <w:t xml:space="preserve">Stropy: Żelbetowe.  </w:t>
            </w:r>
          </w:p>
          <w:p w14:paraId="0669EEA4" w14:textId="77777777" w:rsidR="004121B0" w:rsidRDefault="00016D35">
            <w:pPr>
              <w:spacing w:after="30" w:line="242" w:lineRule="auto"/>
              <w:ind w:left="1"/>
            </w:pPr>
            <w:r>
              <w:rPr>
                <w:rFonts w:ascii="Arial" w:eastAsia="Arial" w:hAnsi="Arial" w:cs="Arial"/>
                <w:sz w:val="20"/>
              </w:rPr>
              <w:t xml:space="preserve">Ściany zewnętrzne: żelbetowe gr. 20 cm, ocieplone styropianem 20 cm.  </w:t>
            </w:r>
          </w:p>
          <w:p w14:paraId="28F4B32A" w14:textId="77777777" w:rsidR="004121B0" w:rsidRDefault="00016D35">
            <w:pPr>
              <w:spacing w:after="18" w:line="241" w:lineRule="auto"/>
              <w:ind w:left="1"/>
            </w:pPr>
            <w:r>
              <w:rPr>
                <w:rFonts w:ascii="Arial" w:eastAsia="Arial" w:hAnsi="Arial" w:cs="Arial"/>
                <w:sz w:val="20"/>
              </w:rPr>
              <w:t xml:space="preserve">Ściany wewnętrzne: ściany żelbetowe gr. 20 cm.  </w:t>
            </w:r>
          </w:p>
          <w:p w14:paraId="4E8A24D4" w14:textId="77777777" w:rsidR="004121B0" w:rsidRDefault="00016D35">
            <w:pPr>
              <w:spacing w:line="267" w:lineRule="auto"/>
              <w:ind w:left="1"/>
            </w:pPr>
            <w:r>
              <w:rPr>
                <w:rFonts w:ascii="Arial" w:eastAsia="Arial" w:hAnsi="Arial" w:cs="Arial"/>
                <w:sz w:val="20"/>
              </w:rPr>
              <w:t xml:space="preserve">Ściany działowe: bloczek z betonu komórkowego gr. 12cm.  </w:t>
            </w:r>
          </w:p>
          <w:p w14:paraId="24B3B94D" w14:textId="77777777" w:rsidR="004121B0" w:rsidRDefault="00016D35">
            <w:pPr>
              <w:spacing w:after="26" w:line="239" w:lineRule="auto"/>
              <w:ind w:left="1"/>
              <w:jc w:val="both"/>
            </w:pPr>
            <w:r>
              <w:rPr>
                <w:rFonts w:ascii="Arial" w:eastAsia="Arial" w:hAnsi="Arial" w:cs="Arial"/>
                <w:sz w:val="20"/>
              </w:rPr>
              <w:t>Elewacja: tynk silikatowo silikonowy, dodatki: tynki</w:t>
            </w:r>
            <w:r>
              <w:rPr>
                <w:rFonts w:ascii="Arial" w:eastAsia="Arial" w:hAnsi="Arial" w:cs="Arial"/>
                <w:color w:val="FF0000"/>
                <w:sz w:val="20"/>
              </w:rPr>
              <w:t xml:space="preserve"> </w:t>
            </w:r>
            <w:r>
              <w:rPr>
                <w:rFonts w:ascii="Arial" w:eastAsia="Arial" w:hAnsi="Arial" w:cs="Arial"/>
                <w:sz w:val="20"/>
              </w:rPr>
              <w:t xml:space="preserve">dekoracyjne.  </w:t>
            </w:r>
          </w:p>
          <w:p w14:paraId="1DD8821C" w14:textId="77777777" w:rsidR="004121B0" w:rsidRDefault="00016D35">
            <w:pPr>
              <w:spacing w:line="262" w:lineRule="auto"/>
              <w:ind w:left="1"/>
            </w:pPr>
            <w:r>
              <w:rPr>
                <w:rFonts w:ascii="Arial" w:eastAsia="Arial" w:hAnsi="Arial" w:cs="Arial"/>
                <w:sz w:val="20"/>
              </w:rPr>
              <w:t xml:space="preserve">Wykończenie ścian wewnętrznych: tynk gipsowy stanowiący podkład do tynków dekoracyjnych lub gładzi gipsowych </w:t>
            </w:r>
            <w:r>
              <w:rPr>
                <w:rFonts w:ascii="Arial" w:eastAsia="Arial" w:hAnsi="Arial" w:cs="Arial"/>
                <w:color w:val="1F497D"/>
                <w:sz w:val="20"/>
              </w:rPr>
              <w:t xml:space="preserve"> </w:t>
            </w:r>
            <w:r>
              <w:rPr>
                <w:rFonts w:ascii="Arial" w:eastAsia="Arial" w:hAnsi="Arial" w:cs="Arial"/>
                <w:sz w:val="20"/>
              </w:rPr>
              <w:t xml:space="preserve">  Wykończenie posadzek: wylewki cementowe zatarte,  </w:t>
            </w:r>
          </w:p>
          <w:p w14:paraId="16043C6C" w14:textId="77777777" w:rsidR="004121B0" w:rsidRDefault="00016D35">
            <w:pPr>
              <w:spacing w:line="262" w:lineRule="auto"/>
              <w:ind w:left="1"/>
            </w:pPr>
            <w:r>
              <w:rPr>
                <w:rFonts w:ascii="Arial" w:eastAsia="Arial" w:hAnsi="Arial" w:cs="Arial"/>
                <w:sz w:val="20"/>
              </w:rPr>
              <w:t xml:space="preserve">Stolarka okienna: Okna PCV 2-cio komorowe, kolor wewnętrzny biały, kolor zewnętrzny dopasowany do elewacji, szyby o współczynniku K=1,0. </w:t>
            </w:r>
          </w:p>
          <w:p w14:paraId="3B8EC351" w14:textId="77777777" w:rsidR="004121B0" w:rsidRDefault="00016D35">
            <w:pPr>
              <w:spacing w:after="18" w:line="242" w:lineRule="auto"/>
              <w:ind w:left="1"/>
            </w:pPr>
            <w:r>
              <w:rPr>
                <w:rFonts w:ascii="Arial" w:eastAsia="Arial" w:hAnsi="Arial" w:cs="Arial"/>
                <w:sz w:val="20"/>
              </w:rPr>
              <w:t xml:space="preserve">Parapety: Zewnętrzne – stalowe, cynkowane i malowane.  </w:t>
            </w:r>
          </w:p>
          <w:p w14:paraId="6EE7CA39" w14:textId="77777777" w:rsidR="004121B0" w:rsidRDefault="00016D35">
            <w:pPr>
              <w:spacing w:line="257" w:lineRule="auto"/>
              <w:ind w:left="1"/>
            </w:pPr>
            <w:r>
              <w:rPr>
                <w:rFonts w:ascii="Arial" w:eastAsia="Arial" w:hAnsi="Arial" w:cs="Arial"/>
                <w:sz w:val="20"/>
              </w:rPr>
              <w:t>Drzwi wewnętrzne – brak (otwory</w:t>
            </w:r>
            <w:r>
              <w:rPr>
                <w:rFonts w:ascii="Arial" w:eastAsia="Arial" w:hAnsi="Arial" w:cs="Arial"/>
                <w:color w:val="1F497D"/>
                <w:sz w:val="20"/>
              </w:rPr>
              <w:t xml:space="preserve"> </w:t>
            </w:r>
            <w:r>
              <w:rPr>
                <w:rFonts w:ascii="Arial" w:eastAsia="Arial" w:hAnsi="Arial" w:cs="Arial"/>
                <w:sz w:val="20"/>
              </w:rPr>
              <w:t>drzwiowe z nieobrobionymi ościeżami)</w:t>
            </w:r>
            <w:r>
              <w:rPr>
                <w:rFonts w:ascii="Arial" w:eastAsia="Arial" w:hAnsi="Arial" w:cs="Arial"/>
                <w:color w:val="FF0000"/>
                <w:sz w:val="20"/>
              </w:rPr>
              <w:t xml:space="preserve"> </w:t>
            </w:r>
            <w:r>
              <w:rPr>
                <w:rFonts w:ascii="Arial" w:eastAsia="Arial" w:hAnsi="Arial" w:cs="Arial"/>
                <w:sz w:val="20"/>
              </w:rPr>
              <w:t xml:space="preserve">Drzwi wejściowe – drzwi antywłamaniowe z atestem.  </w:t>
            </w:r>
          </w:p>
          <w:p w14:paraId="4D45D7B4" w14:textId="77777777" w:rsidR="004121B0" w:rsidRDefault="00016D35">
            <w:pPr>
              <w:spacing w:after="15"/>
              <w:ind w:left="1"/>
            </w:pPr>
            <w:r>
              <w:rPr>
                <w:rFonts w:ascii="Arial" w:eastAsia="Arial" w:hAnsi="Arial" w:cs="Arial"/>
                <w:sz w:val="20"/>
              </w:rPr>
              <w:t xml:space="preserve">Instalacja elektryczna (bez białego </w:t>
            </w:r>
          </w:p>
          <w:p w14:paraId="0B70FCEB" w14:textId="77777777" w:rsidR="004121B0" w:rsidRDefault="00016D35">
            <w:pPr>
              <w:ind w:left="1"/>
            </w:pPr>
            <w:r>
              <w:rPr>
                <w:rFonts w:ascii="Arial" w:eastAsia="Arial" w:hAnsi="Arial" w:cs="Arial"/>
                <w:sz w:val="20"/>
              </w:rPr>
              <w:t>montażu),</w:t>
            </w:r>
            <w:r>
              <w:rPr>
                <w:rFonts w:ascii="Arial" w:eastAsia="Arial" w:hAnsi="Arial" w:cs="Arial"/>
                <w:color w:val="FF0000"/>
                <w:sz w:val="20"/>
              </w:rPr>
              <w:t xml:space="preserve"> </w:t>
            </w:r>
            <w:r>
              <w:rPr>
                <w:rFonts w:ascii="Arial" w:eastAsia="Arial" w:hAnsi="Arial" w:cs="Arial"/>
                <w:sz w:val="20"/>
              </w:rPr>
              <w:t xml:space="preserve"> </w:t>
            </w:r>
          </w:p>
          <w:p w14:paraId="08A385C3" w14:textId="77777777" w:rsidR="004121B0" w:rsidRDefault="00016D35">
            <w:pPr>
              <w:ind w:left="1"/>
              <w:jc w:val="both"/>
            </w:pPr>
            <w:r>
              <w:rPr>
                <w:rFonts w:ascii="Arial" w:eastAsia="Arial" w:hAnsi="Arial" w:cs="Arial"/>
                <w:sz w:val="20"/>
              </w:rPr>
              <w:t xml:space="preserve">Instalacja </w:t>
            </w:r>
            <w:proofErr w:type="spellStart"/>
            <w:r>
              <w:rPr>
                <w:rFonts w:ascii="Arial" w:eastAsia="Arial" w:hAnsi="Arial" w:cs="Arial"/>
                <w:sz w:val="20"/>
              </w:rPr>
              <w:t>wod-kan</w:t>
            </w:r>
            <w:proofErr w:type="spellEnd"/>
            <w:r>
              <w:rPr>
                <w:rFonts w:ascii="Arial" w:eastAsia="Arial" w:hAnsi="Arial" w:cs="Arial"/>
                <w:sz w:val="20"/>
              </w:rPr>
              <w:t xml:space="preserve"> (bez białego montażu) </w:t>
            </w:r>
          </w:p>
          <w:p w14:paraId="044F3AC6" w14:textId="77777777" w:rsidR="004121B0" w:rsidRDefault="00016D35">
            <w:pPr>
              <w:ind w:left="1"/>
            </w:pPr>
            <w:r>
              <w:rPr>
                <w:rFonts w:ascii="Arial" w:eastAsia="Arial" w:hAnsi="Arial" w:cs="Arial"/>
                <w:sz w:val="20"/>
              </w:rPr>
              <w:t xml:space="preserve">- (zakończenie instalacji </w:t>
            </w:r>
            <w:proofErr w:type="spellStart"/>
            <w:r>
              <w:rPr>
                <w:rFonts w:ascii="Arial" w:eastAsia="Arial" w:hAnsi="Arial" w:cs="Arial"/>
                <w:sz w:val="20"/>
              </w:rPr>
              <w:t>wod-kan</w:t>
            </w:r>
            <w:proofErr w:type="spellEnd"/>
            <w:r>
              <w:rPr>
                <w:rFonts w:ascii="Arial" w:eastAsia="Arial" w:hAnsi="Arial" w:cs="Arial"/>
                <w:sz w:val="20"/>
              </w:rPr>
              <w:t xml:space="preserve"> </w:t>
            </w:r>
          </w:p>
          <w:p w14:paraId="6E8E627E" w14:textId="77777777" w:rsidR="004121B0" w:rsidRDefault="00016D35">
            <w:pPr>
              <w:spacing w:after="1" w:line="241" w:lineRule="auto"/>
              <w:ind w:left="1" w:right="935"/>
              <w:jc w:val="both"/>
            </w:pPr>
            <w:r>
              <w:rPr>
                <w:rFonts w:ascii="Arial" w:eastAsia="Arial" w:hAnsi="Arial" w:cs="Arial"/>
                <w:sz w:val="20"/>
              </w:rPr>
              <w:t>wykonana natynkowo</w:t>
            </w:r>
            <w:proofErr w:type="gramStart"/>
            <w:r>
              <w:rPr>
                <w:rFonts w:ascii="Arial" w:eastAsia="Arial" w:hAnsi="Arial" w:cs="Arial"/>
                <w:sz w:val="20"/>
              </w:rPr>
              <w:t>),</w:t>
            </w:r>
            <w:r>
              <w:rPr>
                <w:rFonts w:ascii="Arial" w:eastAsia="Arial" w:hAnsi="Arial" w:cs="Arial"/>
                <w:color w:val="5C2E91"/>
                <w:sz w:val="20"/>
              </w:rPr>
              <w:t xml:space="preserve">  </w:t>
            </w:r>
            <w:r>
              <w:rPr>
                <w:rFonts w:ascii="Arial" w:eastAsia="Arial" w:hAnsi="Arial" w:cs="Arial"/>
                <w:sz w:val="20"/>
              </w:rPr>
              <w:t>miejskie</w:t>
            </w:r>
            <w:proofErr w:type="gramEnd"/>
            <w:r>
              <w:rPr>
                <w:rFonts w:ascii="Arial" w:eastAsia="Arial" w:hAnsi="Arial" w:cs="Arial"/>
                <w:sz w:val="20"/>
              </w:rPr>
              <w:t xml:space="preserve"> C.O, Grzejniki,   </w:t>
            </w:r>
          </w:p>
          <w:p w14:paraId="67656E30" w14:textId="77777777" w:rsidR="004121B0" w:rsidRDefault="00016D35">
            <w:pPr>
              <w:spacing w:line="249" w:lineRule="auto"/>
              <w:ind w:left="1"/>
            </w:pPr>
            <w:r>
              <w:rPr>
                <w:rFonts w:ascii="Arial" w:eastAsia="Arial" w:hAnsi="Arial" w:cs="Arial"/>
                <w:sz w:val="20"/>
              </w:rPr>
              <w:t xml:space="preserve">Instalacja telekomunikacyjna: skrzynka telekomunikacyjna w okolicy drzwi wejściowych, kabel światłowodowy i koncentryczny, doprowadzony do 1 pkt w salonie. </w:t>
            </w:r>
          </w:p>
          <w:p w14:paraId="39410F5D" w14:textId="77777777" w:rsidR="004121B0" w:rsidRDefault="00016D35">
            <w:pPr>
              <w:spacing w:line="241" w:lineRule="auto"/>
              <w:ind w:left="1" w:right="558"/>
              <w:jc w:val="both"/>
            </w:pPr>
            <w:r>
              <w:rPr>
                <w:rFonts w:ascii="Arial" w:eastAsia="Arial" w:hAnsi="Arial" w:cs="Arial"/>
                <w:sz w:val="20"/>
              </w:rPr>
              <w:t xml:space="preserve">Wentylacja mechaniczna.  Domofon: Aparat odbiorczy w </w:t>
            </w:r>
          </w:p>
          <w:p w14:paraId="0FF73A28" w14:textId="77777777" w:rsidR="004121B0" w:rsidRDefault="00016D35">
            <w:pPr>
              <w:ind w:left="1"/>
            </w:pPr>
            <w:r>
              <w:rPr>
                <w:rFonts w:ascii="Arial" w:eastAsia="Arial" w:hAnsi="Arial" w:cs="Arial"/>
                <w:sz w:val="20"/>
              </w:rPr>
              <w:t xml:space="preserve">przedpokoju,  </w:t>
            </w:r>
          </w:p>
          <w:p w14:paraId="1A7EBC11" w14:textId="77777777" w:rsidR="004121B0" w:rsidRDefault="00016D35">
            <w:pPr>
              <w:spacing w:after="16" w:line="248" w:lineRule="auto"/>
              <w:ind w:left="1" w:right="256"/>
              <w:jc w:val="both"/>
            </w:pPr>
            <w:r>
              <w:rPr>
                <w:rFonts w:ascii="Arial" w:eastAsia="Arial" w:hAnsi="Arial" w:cs="Arial"/>
                <w:sz w:val="20"/>
              </w:rPr>
              <w:t xml:space="preserve">Balkony: warstwa wykończeniowa dostosowana do wyglądu </w:t>
            </w:r>
            <w:proofErr w:type="gramStart"/>
            <w:r>
              <w:rPr>
                <w:rFonts w:ascii="Arial" w:eastAsia="Arial" w:hAnsi="Arial" w:cs="Arial"/>
                <w:sz w:val="20"/>
              </w:rPr>
              <w:t>zewnętrznego  budynku</w:t>
            </w:r>
            <w:proofErr w:type="gramEnd"/>
            <w:r>
              <w:rPr>
                <w:rFonts w:ascii="Arial" w:eastAsia="Arial" w:hAnsi="Arial" w:cs="Arial"/>
                <w:sz w:val="20"/>
              </w:rPr>
              <w:t xml:space="preserve">. </w:t>
            </w:r>
          </w:p>
          <w:p w14:paraId="0B01A01C" w14:textId="77777777" w:rsidR="004121B0" w:rsidRDefault="00016D35">
            <w:pPr>
              <w:spacing w:line="242" w:lineRule="auto"/>
              <w:ind w:left="1"/>
            </w:pPr>
            <w:r>
              <w:rPr>
                <w:rFonts w:ascii="Arial" w:eastAsia="Arial" w:hAnsi="Arial" w:cs="Arial"/>
                <w:sz w:val="20"/>
              </w:rPr>
              <w:t xml:space="preserve">Balustrady zewnętrzne stalowe lub szklane.    </w:t>
            </w:r>
          </w:p>
          <w:p w14:paraId="58681408" w14:textId="77777777" w:rsidR="004121B0" w:rsidRDefault="00016D35">
            <w:pPr>
              <w:spacing w:after="46" w:line="256" w:lineRule="auto"/>
              <w:ind w:left="1"/>
            </w:pPr>
            <w:r>
              <w:rPr>
                <w:rFonts w:ascii="Arial" w:eastAsia="Arial" w:hAnsi="Arial" w:cs="Arial"/>
                <w:sz w:val="20"/>
              </w:rPr>
              <w:t xml:space="preserve">Wszelkie indywidualne uzgodnienia zmian lokatorskich wymagają formy pisemnej </w:t>
            </w:r>
            <w:r>
              <w:rPr>
                <w:rFonts w:ascii="Arial" w:eastAsia="Arial" w:hAnsi="Arial" w:cs="Arial"/>
                <w:sz w:val="20"/>
              </w:rPr>
              <w:lastRenderedPageBreak/>
              <w:t xml:space="preserve">(papierowej lub elektronicznej) i akceptacji obu stron (sprzedającego i kupującego).  </w:t>
            </w:r>
          </w:p>
          <w:p w14:paraId="2BD56A26" w14:textId="77777777" w:rsidR="004121B0" w:rsidRDefault="00016D35">
            <w:pPr>
              <w:ind w:left="1"/>
            </w:pPr>
            <w:r>
              <w:rPr>
                <w:rFonts w:ascii="Arial" w:eastAsia="Arial" w:hAnsi="Arial" w:cs="Arial"/>
              </w:rPr>
              <w:t xml:space="preserve"> </w:t>
            </w:r>
          </w:p>
        </w:tc>
      </w:tr>
      <w:tr w:rsidR="004121B0" w14:paraId="229CBB02" w14:textId="77777777">
        <w:trPr>
          <w:trHeight w:val="2800"/>
        </w:trPr>
        <w:tc>
          <w:tcPr>
            <w:tcW w:w="3204" w:type="dxa"/>
            <w:tcBorders>
              <w:top w:val="single" w:sz="6" w:space="0" w:color="E0E0E0"/>
              <w:left w:val="single" w:sz="6" w:space="0" w:color="000000"/>
              <w:bottom w:val="nil"/>
              <w:right w:val="single" w:sz="6" w:space="0" w:color="000000"/>
            </w:tcBorders>
            <w:shd w:val="clear" w:color="auto" w:fill="E0E0E0"/>
          </w:tcPr>
          <w:p w14:paraId="3DAD2EC6" w14:textId="77777777" w:rsidR="004121B0" w:rsidRDefault="004121B0"/>
        </w:tc>
        <w:tc>
          <w:tcPr>
            <w:tcW w:w="3158" w:type="dxa"/>
            <w:tcBorders>
              <w:top w:val="single" w:sz="6" w:space="0" w:color="000000"/>
              <w:left w:val="single" w:sz="6" w:space="0" w:color="000000"/>
              <w:bottom w:val="single" w:sz="6" w:space="0" w:color="000000"/>
              <w:right w:val="single" w:sz="4" w:space="0" w:color="000000"/>
            </w:tcBorders>
          </w:tcPr>
          <w:p w14:paraId="37E83C12" w14:textId="77777777" w:rsidR="004121B0" w:rsidRDefault="00016D35">
            <w:pPr>
              <w:ind w:left="29" w:right="51"/>
              <w:jc w:val="both"/>
            </w:pPr>
            <w:r>
              <w:rPr>
                <w:rFonts w:ascii="Arial" w:eastAsia="Arial" w:hAnsi="Arial" w:cs="Arial"/>
                <w:sz w:val="19"/>
              </w:rPr>
              <w:t xml:space="preserve">standard prac wykończeniowych w części wspólnej budynku i terenie wokół niego, stanowiącym część wspólną nieruchomości </w:t>
            </w:r>
          </w:p>
        </w:tc>
        <w:tc>
          <w:tcPr>
            <w:tcW w:w="3843" w:type="dxa"/>
            <w:tcBorders>
              <w:top w:val="single" w:sz="6" w:space="0" w:color="000000"/>
              <w:left w:val="single" w:sz="4" w:space="0" w:color="000000"/>
              <w:bottom w:val="single" w:sz="6" w:space="0" w:color="000000"/>
              <w:right w:val="single" w:sz="6" w:space="0" w:color="000000"/>
            </w:tcBorders>
          </w:tcPr>
          <w:p w14:paraId="635545B8" w14:textId="77777777" w:rsidR="004121B0" w:rsidRDefault="00016D35">
            <w:pPr>
              <w:spacing w:after="44" w:line="296" w:lineRule="auto"/>
              <w:ind w:left="1"/>
            </w:pPr>
            <w:r>
              <w:rPr>
                <w:rFonts w:ascii="Arial" w:eastAsia="Arial" w:hAnsi="Arial" w:cs="Arial"/>
                <w:sz w:val="20"/>
              </w:rPr>
              <w:t xml:space="preserve">Wykończenie klatek schodowych i korytarzy płytkami podłogowymi </w:t>
            </w:r>
            <w:proofErr w:type="spellStart"/>
            <w:r>
              <w:rPr>
                <w:rFonts w:ascii="Arial" w:eastAsia="Arial" w:hAnsi="Arial" w:cs="Arial"/>
                <w:sz w:val="20"/>
              </w:rPr>
              <w:t>gresowymi</w:t>
            </w:r>
            <w:proofErr w:type="spellEnd"/>
            <w:r>
              <w:rPr>
                <w:rFonts w:ascii="Arial" w:eastAsia="Arial" w:hAnsi="Arial" w:cs="Arial"/>
                <w:sz w:val="20"/>
              </w:rPr>
              <w:t xml:space="preserve"> lub ceramicznymi, </w:t>
            </w:r>
            <w:proofErr w:type="gramStart"/>
            <w:r>
              <w:rPr>
                <w:rFonts w:ascii="Arial" w:eastAsia="Arial" w:hAnsi="Arial" w:cs="Arial"/>
                <w:sz w:val="20"/>
              </w:rPr>
              <w:t>ściany</w:t>
            </w:r>
            <w:r>
              <w:rPr>
                <w:rFonts w:ascii="Arial" w:eastAsia="Arial" w:hAnsi="Arial" w:cs="Arial"/>
                <w:color w:val="5C2E91"/>
                <w:sz w:val="20"/>
              </w:rPr>
              <w:t xml:space="preserve"> </w:t>
            </w:r>
            <w:r>
              <w:rPr>
                <w:rFonts w:ascii="Arial" w:eastAsia="Arial" w:hAnsi="Arial" w:cs="Arial"/>
                <w:sz w:val="20"/>
              </w:rPr>
              <w:t xml:space="preserve"> tynkowane</w:t>
            </w:r>
            <w:proofErr w:type="gramEnd"/>
            <w:r>
              <w:rPr>
                <w:rFonts w:ascii="Arial" w:eastAsia="Arial" w:hAnsi="Arial" w:cs="Arial"/>
                <w:sz w:val="20"/>
              </w:rPr>
              <w:t xml:space="preserve"> oraz malowane, instalacja elektryczna z włącznikami elektrycznymi i oprawą oświetleniową, balustrady ze stali nierdzewnej lub proszkowanej. </w:t>
            </w:r>
          </w:p>
          <w:p w14:paraId="5960931C" w14:textId="77777777" w:rsidR="004121B0" w:rsidRDefault="00016D35">
            <w:pPr>
              <w:spacing w:after="12" w:line="301" w:lineRule="auto"/>
              <w:ind w:left="1"/>
              <w:jc w:val="both"/>
            </w:pPr>
            <w:r>
              <w:rPr>
                <w:rFonts w:ascii="Arial" w:eastAsia="Arial" w:hAnsi="Arial" w:cs="Arial"/>
                <w:sz w:val="20"/>
              </w:rPr>
              <w:t xml:space="preserve">Chodniki, drogi wewnętrzne – kostka brukowa, zieleń. </w:t>
            </w:r>
          </w:p>
          <w:p w14:paraId="68F88F42" w14:textId="77777777" w:rsidR="004121B0" w:rsidRDefault="00016D35">
            <w:pPr>
              <w:ind w:left="1"/>
            </w:pPr>
            <w:r>
              <w:rPr>
                <w:rFonts w:ascii="Arial" w:eastAsia="Arial" w:hAnsi="Arial" w:cs="Arial"/>
              </w:rPr>
              <w:t xml:space="preserve"> </w:t>
            </w:r>
          </w:p>
        </w:tc>
      </w:tr>
      <w:tr w:rsidR="004121B0" w14:paraId="1DED17A9" w14:textId="77777777">
        <w:trPr>
          <w:trHeight w:val="619"/>
        </w:trPr>
        <w:tc>
          <w:tcPr>
            <w:tcW w:w="3204" w:type="dxa"/>
            <w:vMerge w:val="restart"/>
            <w:tcBorders>
              <w:top w:val="nil"/>
              <w:left w:val="single" w:sz="6" w:space="0" w:color="000000"/>
              <w:bottom w:val="single" w:sz="6" w:space="0" w:color="000000"/>
              <w:right w:val="single" w:sz="6" w:space="0" w:color="000000"/>
            </w:tcBorders>
            <w:shd w:val="clear" w:color="auto" w:fill="E0E0E0"/>
          </w:tcPr>
          <w:p w14:paraId="71BF0202" w14:textId="77777777" w:rsidR="004121B0" w:rsidRDefault="004121B0"/>
        </w:tc>
        <w:tc>
          <w:tcPr>
            <w:tcW w:w="3158" w:type="dxa"/>
            <w:tcBorders>
              <w:top w:val="single" w:sz="6" w:space="0" w:color="000000"/>
              <w:left w:val="single" w:sz="6" w:space="0" w:color="000000"/>
              <w:bottom w:val="single" w:sz="6" w:space="0" w:color="000000"/>
              <w:right w:val="single" w:sz="4" w:space="0" w:color="000000"/>
            </w:tcBorders>
          </w:tcPr>
          <w:p w14:paraId="47BCEF1A" w14:textId="77777777" w:rsidR="004121B0" w:rsidRDefault="00016D35">
            <w:pPr>
              <w:ind w:left="29"/>
            </w:pPr>
            <w:r>
              <w:rPr>
                <w:rFonts w:ascii="Arial" w:eastAsia="Arial" w:hAnsi="Arial" w:cs="Arial"/>
                <w:sz w:val="19"/>
              </w:rPr>
              <w:t xml:space="preserve">liczba lokali w budynku </w:t>
            </w:r>
          </w:p>
        </w:tc>
        <w:tc>
          <w:tcPr>
            <w:tcW w:w="3843" w:type="dxa"/>
            <w:tcBorders>
              <w:top w:val="single" w:sz="6" w:space="0" w:color="000000"/>
              <w:left w:val="single" w:sz="4" w:space="0" w:color="000000"/>
              <w:bottom w:val="single" w:sz="6" w:space="0" w:color="000000"/>
              <w:right w:val="single" w:sz="6" w:space="0" w:color="000000"/>
            </w:tcBorders>
          </w:tcPr>
          <w:p w14:paraId="362D9356" w14:textId="77777777" w:rsidR="004121B0" w:rsidRDefault="00016D35">
            <w:pPr>
              <w:spacing w:after="26"/>
              <w:ind w:left="1"/>
            </w:pPr>
            <w:r>
              <w:rPr>
                <w:rFonts w:ascii="Arial" w:eastAsia="Arial" w:hAnsi="Arial" w:cs="Arial"/>
              </w:rPr>
              <w:t xml:space="preserve">Budynek D- 59 mieszkania </w:t>
            </w:r>
          </w:p>
          <w:p w14:paraId="0D7A0A62" w14:textId="77777777" w:rsidR="004121B0" w:rsidRDefault="00016D35">
            <w:pPr>
              <w:ind w:left="1"/>
            </w:pPr>
            <w:r>
              <w:rPr>
                <w:rFonts w:ascii="Arial" w:eastAsia="Arial" w:hAnsi="Arial" w:cs="Arial"/>
              </w:rPr>
              <w:t xml:space="preserve">  </w:t>
            </w:r>
          </w:p>
        </w:tc>
      </w:tr>
      <w:tr w:rsidR="004121B0" w14:paraId="4C2D2951" w14:textId="77777777">
        <w:trPr>
          <w:trHeight w:val="855"/>
        </w:trPr>
        <w:tc>
          <w:tcPr>
            <w:tcW w:w="0" w:type="auto"/>
            <w:vMerge/>
            <w:tcBorders>
              <w:top w:val="nil"/>
              <w:left w:val="single" w:sz="6" w:space="0" w:color="000000"/>
              <w:bottom w:val="nil"/>
              <w:right w:val="single" w:sz="6" w:space="0" w:color="000000"/>
            </w:tcBorders>
          </w:tcPr>
          <w:p w14:paraId="2BB181DE" w14:textId="77777777" w:rsidR="004121B0" w:rsidRDefault="004121B0"/>
        </w:tc>
        <w:tc>
          <w:tcPr>
            <w:tcW w:w="3158" w:type="dxa"/>
            <w:tcBorders>
              <w:top w:val="single" w:sz="6" w:space="0" w:color="000000"/>
              <w:left w:val="single" w:sz="6" w:space="0" w:color="000000"/>
              <w:bottom w:val="single" w:sz="6" w:space="0" w:color="000000"/>
              <w:right w:val="single" w:sz="4" w:space="0" w:color="000000"/>
            </w:tcBorders>
          </w:tcPr>
          <w:p w14:paraId="53CFE276" w14:textId="77777777" w:rsidR="004121B0" w:rsidRDefault="00016D35">
            <w:pPr>
              <w:spacing w:after="34"/>
              <w:ind w:left="29"/>
            </w:pPr>
            <w:r>
              <w:rPr>
                <w:rFonts w:ascii="Arial" w:eastAsia="Arial" w:hAnsi="Arial" w:cs="Arial"/>
                <w:sz w:val="19"/>
              </w:rPr>
              <w:t xml:space="preserve">liczba miejsc garażowych i </w:t>
            </w:r>
            <w:proofErr w:type="spellStart"/>
            <w:r>
              <w:rPr>
                <w:rFonts w:ascii="Arial" w:eastAsia="Arial" w:hAnsi="Arial" w:cs="Arial"/>
                <w:sz w:val="19"/>
              </w:rPr>
              <w:t>posto</w:t>
            </w:r>
            <w:proofErr w:type="spellEnd"/>
            <w:r>
              <w:rPr>
                <w:rFonts w:ascii="Arial" w:eastAsia="Arial" w:hAnsi="Arial" w:cs="Arial"/>
                <w:sz w:val="19"/>
              </w:rPr>
              <w:t>-</w:t>
            </w:r>
          </w:p>
          <w:p w14:paraId="692FA746" w14:textId="77777777" w:rsidR="004121B0" w:rsidRDefault="00016D35">
            <w:pPr>
              <w:ind w:left="29"/>
            </w:pPr>
            <w:proofErr w:type="spellStart"/>
            <w:r>
              <w:rPr>
                <w:rFonts w:ascii="Arial" w:eastAsia="Arial" w:hAnsi="Arial" w:cs="Arial"/>
                <w:sz w:val="19"/>
              </w:rPr>
              <w:t>jowych</w:t>
            </w:r>
            <w:proofErr w:type="spellEnd"/>
            <w:r>
              <w:rPr>
                <w:rFonts w:ascii="Arial" w:eastAsia="Arial" w:hAnsi="Arial" w:cs="Arial"/>
                <w:sz w:val="19"/>
              </w:rPr>
              <w:t xml:space="preserve"> </w:t>
            </w:r>
            <w:r>
              <w:rPr>
                <w:rFonts w:ascii="Webdings" w:eastAsia="Webdings" w:hAnsi="Webdings" w:cs="Webdings"/>
                <w:color w:val="FFFFFF"/>
                <w:sz w:val="2"/>
              </w:rPr>
              <w:t></w:t>
            </w:r>
            <w:r>
              <w:rPr>
                <w:rFonts w:ascii="Webdings" w:eastAsia="Webdings" w:hAnsi="Webdings" w:cs="Webdings"/>
                <w:color w:val="FFFFFF"/>
                <w:sz w:val="2"/>
              </w:rPr>
              <w:t></w:t>
            </w:r>
            <w:r>
              <w:rPr>
                <w:rFonts w:ascii="Webdings" w:eastAsia="Webdings" w:hAnsi="Webdings" w:cs="Webdings"/>
                <w:color w:val="FFFFFF"/>
                <w:sz w:val="2"/>
              </w:rPr>
              <w:t></w:t>
            </w:r>
            <w:r>
              <w:rPr>
                <w:rFonts w:ascii="Webdings" w:eastAsia="Webdings" w:hAnsi="Webdings" w:cs="Webdings"/>
                <w:color w:val="FFFFFF"/>
                <w:sz w:val="2"/>
              </w:rPr>
              <w:t></w:t>
            </w:r>
            <w:r>
              <w:rPr>
                <w:rFonts w:ascii="Webdings" w:eastAsia="Webdings" w:hAnsi="Webdings" w:cs="Webdings"/>
                <w:color w:val="FFFFFF"/>
                <w:sz w:val="2"/>
              </w:rPr>
              <w:t></w:t>
            </w:r>
            <w:r>
              <w:rPr>
                <w:rFonts w:ascii="Webdings" w:eastAsia="Webdings" w:hAnsi="Webdings" w:cs="Webdings"/>
                <w:color w:val="FFFFFF"/>
                <w:sz w:val="2"/>
              </w:rPr>
              <w:t></w:t>
            </w:r>
            <w:r>
              <w:rPr>
                <w:rFonts w:ascii="Webdings" w:eastAsia="Webdings" w:hAnsi="Webdings" w:cs="Webdings"/>
                <w:color w:val="FFFFFF"/>
                <w:sz w:val="2"/>
              </w:rPr>
              <w:t></w:t>
            </w:r>
            <w:r>
              <w:rPr>
                <w:rFonts w:ascii="Webdings" w:eastAsia="Webdings" w:hAnsi="Webdings" w:cs="Webdings"/>
                <w:color w:val="FFFFFF"/>
                <w:sz w:val="2"/>
              </w:rPr>
              <w:t></w:t>
            </w:r>
            <w:r>
              <w:rPr>
                <w:rFonts w:ascii="Webdings" w:eastAsia="Webdings" w:hAnsi="Webdings" w:cs="Webdings"/>
                <w:color w:val="FFFFFF"/>
                <w:sz w:val="2"/>
              </w:rPr>
              <w:t></w:t>
            </w:r>
            <w:r>
              <w:rPr>
                <w:rFonts w:ascii="Arial" w:eastAsia="Arial" w:hAnsi="Arial" w:cs="Arial"/>
                <w:sz w:val="19"/>
              </w:rPr>
              <w:t xml:space="preserve"> </w:t>
            </w:r>
          </w:p>
        </w:tc>
        <w:tc>
          <w:tcPr>
            <w:tcW w:w="3843" w:type="dxa"/>
            <w:tcBorders>
              <w:top w:val="single" w:sz="6" w:space="0" w:color="000000"/>
              <w:left w:val="single" w:sz="4" w:space="0" w:color="000000"/>
              <w:bottom w:val="single" w:sz="6" w:space="0" w:color="000000"/>
              <w:right w:val="single" w:sz="6" w:space="0" w:color="000000"/>
            </w:tcBorders>
          </w:tcPr>
          <w:p w14:paraId="64312389" w14:textId="77777777" w:rsidR="004121B0" w:rsidRDefault="00016D35">
            <w:pPr>
              <w:ind w:left="1"/>
            </w:pPr>
            <w:r>
              <w:rPr>
                <w:rFonts w:ascii="Arial" w:eastAsia="Arial" w:hAnsi="Arial" w:cs="Arial"/>
              </w:rPr>
              <w:t xml:space="preserve">Liczna miejsc postojowych w wielostanowiskowym garażu podziemnym: 60  </w:t>
            </w:r>
          </w:p>
        </w:tc>
      </w:tr>
      <w:tr w:rsidR="004121B0" w14:paraId="3DA7C558" w14:textId="77777777">
        <w:trPr>
          <w:trHeight w:val="586"/>
        </w:trPr>
        <w:tc>
          <w:tcPr>
            <w:tcW w:w="0" w:type="auto"/>
            <w:vMerge/>
            <w:tcBorders>
              <w:top w:val="nil"/>
              <w:left w:val="single" w:sz="6" w:space="0" w:color="000000"/>
              <w:bottom w:val="nil"/>
              <w:right w:val="single" w:sz="6" w:space="0" w:color="000000"/>
            </w:tcBorders>
          </w:tcPr>
          <w:p w14:paraId="7B96ED80" w14:textId="77777777" w:rsidR="004121B0" w:rsidRDefault="004121B0"/>
        </w:tc>
        <w:tc>
          <w:tcPr>
            <w:tcW w:w="3158" w:type="dxa"/>
            <w:tcBorders>
              <w:top w:val="single" w:sz="6" w:space="0" w:color="000000"/>
              <w:left w:val="single" w:sz="6" w:space="0" w:color="000000"/>
              <w:bottom w:val="single" w:sz="6" w:space="0" w:color="000000"/>
              <w:right w:val="single" w:sz="4" w:space="0" w:color="000000"/>
            </w:tcBorders>
            <w:vAlign w:val="center"/>
          </w:tcPr>
          <w:p w14:paraId="682248F9" w14:textId="77777777" w:rsidR="004121B0" w:rsidRDefault="00016D35">
            <w:pPr>
              <w:ind w:left="29"/>
            </w:pPr>
            <w:r>
              <w:rPr>
                <w:rFonts w:ascii="Arial" w:eastAsia="Arial" w:hAnsi="Arial" w:cs="Arial"/>
                <w:sz w:val="19"/>
              </w:rPr>
              <w:t xml:space="preserve">dostępne media w budynku </w:t>
            </w:r>
          </w:p>
        </w:tc>
        <w:tc>
          <w:tcPr>
            <w:tcW w:w="3843" w:type="dxa"/>
            <w:tcBorders>
              <w:top w:val="single" w:sz="6" w:space="0" w:color="000000"/>
              <w:left w:val="single" w:sz="4" w:space="0" w:color="000000"/>
              <w:bottom w:val="single" w:sz="6" w:space="0" w:color="000000"/>
              <w:right w:val="single" w:sz="6" w:space="0" w:color="000000"/>
            </w:tcBorders>
          </w:tcPr>
          <w:p w14:paraId="065673DE" w14:textId="77777777" w:rsidR="004121B0" w:rsidRDefault="00016D35">
            <w:pPr>
              <w:ind w:left="1"/>
            </w:pPr>
            <w:r>
              <w:rPr>
                <w:rFonts w:ascii="Arial" w:eastAsia="Arial" w:hAnsi="Arial" w:cs="Arial"/>
              </w:rPr>
              <w:t xml:space="preserve">Prąd, ogrzewanie miejskie, </w:t>
            </w:r>
            <w:proofErr w:type="gramStart"/>
            <w:r>
              <w:rPr>
                <w:rFonts w:ascii="Arial" w:eastAsia="Arial" w:hAnsi="Arial" w:cs="Arial"/>
              </w:rPr>
              <w:t>woda,  Internet</w:t>
            </w:r>
            <w:proofErr w:type="gramEnd"/>
            <w:r>
              <w:rPr>
                <w:rFonts w:ascii="Arial" w:eastAsia="Arial" w:hAnsi="Arial" w:cs="Arial"/>
              </w:rPr>
              <w:t xml:space="preserve">, TV </w:t>
            </w:r>
          </w:p>
        </w:tc>
      </w:tr>
      <w:tr w:rsidR="004121B0" w14:paraId="0E530B74" w14:textId="77777777">
        <w:trPr>
          <w:trHeight w:val="461"/>
        </w:trPr>
        <w:tc>
          <w:tcPr>
            <w:tcW w:w="0" w:type="auto"/>
            <w:vMerge/>
            <w:tcBorders>
              <w:top w:val="nil"/>
              <w:left w:val="single" w:sz="6" w:space="0" w:color="000000"/>
              <w:bottom w:val="single" w:sz="6" w:space="0" w:color="000000"/>
              <w:right w:val="single" w:sz="6" w:space="0" w:color="000000"/>
            </w:tcBorders>
          </w:tcPr>
          <w:p w14:paraId="684A9590" w14:textId="77777777" w:rsidR="004121B0" w:rsidRDefault="004121B0"/>
        </w:tc>
        <w:tc>
          <w:tcPr>
            <w:tcW w:w="3158" w:type="dxa"/>
            <w:tcBorders>
              <w:top w:val="single" w:sz="6" w:space="0" w:color="000000"/>
              <w:left w:val="single" w:sz="6" w:space="0" w:color="000000"/>
              <w:bottom w:val="single" w:sz="6" w:space="0" w:color="000000"/>
              <w:right w:val="single" w:sz="4" w:space="0" w:color="000000"/>
            </w:tcBorders>
            <w:vAlign w:val="center"/>
          </w:tcPr>
          <w:p w14:paraId="105891ED" w14:textId="77777777" w:rsidR="004121B0" w:rsidRDefault="00016D35">
            <w:pPr>
              <w:ind w:left="29"/>
            </w:pPr>
            <w:r>
              <w:rPr>
                <w:rFonts w:ascii="Arial" w:eastAsia="Arial" w:hAnsi="Arial" w:cs="Arial"/>
                <w:sz w:val="19"/>
              </w:rPr>
              <w:t xml:space="preserve">dostęp do drogi publicznej </w:t>
            </w:r>
          </w:p>
        </w:tc>
        <w:tc>
          <w:tcPr>
            <w:tcW w:w="3843" w:type="dxa"/>
            <w:tcBorders>
              <w:top w:val="single" w:sz="6" w:space="0" w:color="000000"/>
              <w:left w:val="single" w:sz="4" w:space="0" w:color="000000"/>
              <w:bottom w:val="single" w:sz="6" w:space="0" w:color="000000"/>
              <w:right w:val="single" w:sz="6" w:space="0" w:color="000000"/>
            </w:tcBorders>
          </w:tcPr>
          <w:p w14:paraId="30E2F80E" w14:textId="77777777" w:rsidR="004121B0" w:rsidRDefault="00016D35">
            <w:pPr>
              <w:ind w:left="8"/>
              <w:jc w:val="center"/>
            </w:pPr>
            <w:r>
              <w:rPr>
                <w:rFonts w:ascii="Arial" w:eastAsia="Arial" w:hAnsi="Arial" w:cs="Arial"/>
              </w:rPr>
              <w:t xml:space="preserve">TAK </w:t>
            </w:r>
          </w:p>
        </w:tc>
      </w:tr>
      <w:tr w:rsidR="004121B0" w14:paraId="760B78C4" w14:textId="77777777">
        <w:trPr>
          <w:trHeight w:val="1190"/>
        </w:trPr>
        <w:tc>
          <w:tcPr>
            <w:tcW w:w="320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22EB16DE" w14:textId="77777777" w:rsidR="004121B0" w:rsidRDefault="00016D35">
            <w:pPr>
              <w:ind w:left="28" w:right="52"/>
              <w:jc w:val="both"/>
            </w:pPr>
            <w:r>
              <w:rPr>
                <w:rFonts w:ascii="Arial" w:eastAsia="Arial" w:hAnsi="Arial" w:cs="Arial"/>
                <w:sz w:val="19"/>
              </w:rPr>
              <w:t xml:space="preserve">Określenie usytuowania lokalu mieszkalnego w budynku, jeżeli przedsięwzięcie deweloperskie dotyczy lokali mieszkalnych </w:t>
            </w:r>
          </w:p>
        </w:tc>
        <w:tc>
          <w:tcPr>
            <w:tcW w:w="3158" w:type="dxa"/>
            <w:tcBorders>
              <w:top w:val="single" w:sz="6" w:space="0" w:color="000000"/>
              <w:left w:val="single" w:sz="6" w:space="0" w:color="000000"/>
              <w:bottom w:val="single" w:sz="6" w:space="0" w:color="000000"/>
              <w:right w:val="nil"/>
            </w:tcBorders>
          </w:tcPr>
          <w:p w14:paraId="2FD8FF31" w14:textId="77777777" w:rsidR="004121B0" w:rsidRDefault="00016D35">
            <w:r>
              <w:rPr>
                <w:rFonts w:ascii="Arial" w:eastAsia="Arial" w:hAnsi="Arial" w:cs="Arial"/>
              </w:rPr>
              <w:t>Zgodnie z załącznikiem nr</w:t>
            </w:r>
            <w:proofErr w:type="gramStart"/>
            <w:r>
              <w:rPr>
                <w:rFonts w:ascii="Arial" w:eastAsia="Arial" w:hAnsi="Arial" w:cs="Arial"/>
              </w:rPr>
              <w:t xml:space="preserve"> ….</w:t>
            </w:r>
            <w:proofErr w:type="gramEnd"/>
            <w:r>
              <w:rPr>
                <w:rFonts w:ascii="Arial" w:eastAsia="Arial" w:hAnsi="Arial" w:cs="Arial"/>
              </w:rPr>
              <w:t xml:space="preserve">. </w:t>
            </w:r>
          </w:p>
        </w:tc>
        <w:tc>
          <w:tcPr>
            <w:tcW w:w="3843" w:type="dxa"/>
            <w:tcBorders>
              <w:top w:val="single" w:sz="6" w:space="0" w:color="000000"/>
              <w:left w:val="nil"/>
              <w:bottom w:val="single" w:sz="6" w:space="0" w:color="000000"/>
              <w:right w:val="single" w:sz="6" w:space="0" w:color="000000"/>
            </w:tcBorders>
          </w:tcPr>
          <w:p w14:paraId="32C2CBA6" w14:textId="77777777" w:rsidR="004121B0" w:rsidRDefault="004121B0"/>
        </w:tc>
      </w:tr>
      <w:tr w:rsidR="004121B0" w14:paraId="686549ED" w14:textId="77777777">
        <w:trPr>
          <w:trHeight w:val="1439"/>
        </w:trPr>
        <w:tc>
          <w:tcPr>
            <w:tcW w:w="320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3124F2C3" w14:textId="77777777" w:rsidR="004121B0" w:rsidRDefault="00016D35">
            <w:pPr>
              <w:spacing w:after="3" w:line="318" w:lineRule="auto"/>
              <w:ind w:left="28" w:right="51"/>
              <w:jc w:val="both"/>
            </w:pPr>
            <w:r>
              <w:rPr>
                <w:rFonts w:ascii="Arial" w:eastAsia="Arial" w:hAnsi="Arial" w:cs="Arial"/>
                <w:sz w:val="19"/>
              </w:rPr>
              <w:t xml:space="preserve">Określenie powierzchni i układu pomieszczeń oraz zakresu i standardu prac wykończeniowych, do których wykonania zobowiązuje </w:t>
            </w:r>
          </w:p>
          <w:p w14:paraId="7181EA8B" w14:textId="77777777" w:rsidR="004121B0" w:rsidRDefault="00016D35">
            <w:pPr>
              <w:ind w:left="28"/>
            </w:pPr>
            <w:r>
              <w:rPr>
                <w:rFonts w:ascii="Arial" w:eastAsia="Arial" w:hAnsi="Arial" w:cs="Arial"/>
                <w:sz w:val="19"/>
              </w:rPr>
              <w:t xml:space="preserve">się deweloper </w:t>
            </w:r>
          </w:p>
        </w:tc>
        <w:tc>
          <w:tcPr>
            <w:tcW w:w="3158" w:type="dxa"/>
            <w:tcBorders>
              <w:top w:val="single" w:sz="6" w:space="0" w:color="000000"/>
              <w:left w:val="single" w:sz="6" w:space="0" w:color="000000"/>
              <w:bottom w:val="single" w:sz="6" w:space="0" w:color="000000"/>
              <w:right w:val="nil"/>
            </w:tcBorders>
          </w:tcPr>
          <w:p w14:paraId="200FD02F" w14:textId="77777777" w:rsidR="004121B0" w:rsidRDefault="00016D35">
            <w:r>
              <w:rPr>
                <w:rFonts w:ascii="Arial" w:eastAsia="Arial" w:hAnsi="Arial" w:cs="Arial"/>
              </w:rPr>
              <w:t>Zgodnie z załącznikiem nr</w:t>
            </w:r>
            <w:proofErr w:type="gramStart"/>
            <w:r>
              <w:rPr>
                <w:rFonts w:ascii="Arial" w:eastAsia="Arial" w:hAnsi="Arial" w:cs="Arial"/>
              </w:rPr>
              <w:t xml:space="preserve"> ….</w:t>
            </w:r>
            <w:proofErr w:type="gramEnd"/>
            <w:r>
              <w:rPr>
                <w:rFonts w:ascii="Arial" w:eastAsia="Arial" w:hAnsi="Arial" w:cs="Arial"/>
              </w:rPr>
              <w:t xml:space="preserve">. </w:t>
            </w:r>
          </w:p>
        </w:tc>
        <w:tc>
          <w:tcPr>
            <w:tcW w:w="3843" w:type="dxa"/>
            <w:tcBorders>
              <w:top w:val="single" w:sz="6" w:space="0" w:color="000000"/>
              <w:left w:val="nil"/>
              <w:bottom w:val="single" w:sz="6" w:space="0" w:color="000000"/>
              <w:right w:val="single" w:sz="6" w:space="0" w:color="000000"/>
            </w:tcBorders>
          </w:tcPr>
          <w:p w14:paraId="19B24DF4" w14:textId="77777777" w:rsidR="004121B0" w:rsidRDefault="004121B0"/>
        </w:tc>
      </w:tr>
    </w:tbl>
    <w:p w14:paraId="10D20375" w14:textId="77777777" w:rsidR="004121B0" w:rsidRDefault="00016D35">
      <w:pPr>
        <w:pStyle w:val="Nagwek1"/>
        <w:numPr>
          <w:ilvl w:val="0"/>
          <w:numId w:val="0"/>
        </w:numPr>
        <w:tabs>
          <w:tab w:val="center" w:pos="7549"/>
        </w:tabs>
        <w:spacing w:after="49"/>
      </w:pPr>
      <w:r>
        <w:t xml:space="preserve"> </w:t>
      </w:r>
      <w:r>
        <w:tab/>
        <w:t xml:space="preserve">podpis dewelopera albo osoby uprawnionej do  </w:t>
      </w:r>
    </w:p>
    <w:p w14:paraId="63DB6ABB" w14:textId="77777777" w:rsidR="004121B0" w:rsidRDefault="00016D35">
      <w:pPr>
        <w:spacing w:after="55"/>
        <w:ind w:right="887"/>
        <w:jc w:val="right"/>
      </w:pPr>
      <w:r>
        <w:rPr>
          <w:rFonts w:ascii="Arial" w:eastAsia="Arial" w:hAnsi="Arial" w:cs="Arial"/>
          <w:b/>
          <w:sz w:val="19"/>
        </w:rPr>
        <w:t xml:space="preserve">jego reprezentacji oraz pieczęć firmowa </w:t>
      </w:r>
    </w:p>
    <w:p w14:paraId="739A6FDB" w14:textId="77777777" w:rsidR="004121B0" w:rsidRDefault="00016D35">
      <w:pPr>
        <w:spacing w:after="32"/>
        <w:ind w:left="41"/>
      </w:pPr>
      <w:r>
        <w:rPr>
          <w:rFonts w:ascii="Arial" w:eastAsia="Arial" w:hAnsi="Arial" w:cs="Arial"/>
          <w:b/>
          <w:sz w:val="19"/>
        </w:rPr>
        <w:t xml:space="preserve"> </w:t>
      </w:r>
      <w:r>
        <w:rPr>
          <w:rFonts w:ascii="Arial" w:eastAsia="Arial" w:hAnsi="Arial" w:cs="Arial"/>
          <w:b/>
          <w:sz w:val="19"/>
        </w:rPr>
        <w:tab/>
        <w:t xml:space="preserve"> </w:t>
      </w:r>
      <w:r>
        <w:rPr>
          <w:rFonts w:ascii="Arial" w:eastAsia="Arial" w:hAnsi="Arial" w:cs="Arial"/>
          <w:b/>
          <w:sz w:val="19"/>
        </w:rPr>
        <w:tab/>
        <w:t xml:space="preserve"> </w:t>
      </w:r>
    </w:p>
    <w:p w14:paraId="06C2224B" w14:textId="77777777" w:rsidR="004121B0" w:rsidRDefault="00016D35">
      <w:pPr>
        <w:spacing w:after="67"/>
        <w:ind w:left="5685"/>
      </w:pPr>
      <w:r>
        <w:rPr>
          <w:noProof/>
        </w:rPr>
        <mc:AlternateContent>
          <mc:Choice Requires="wpg">
            <w:drawing>
              <wp:inline distT="0" distB="0" distL="0" distR="0" wp14:anchorId="7FF3A7E3" wp14:editId="417CB224">
                <wp:extent cx="2359533" cy="18288"/>
                <wp:effectExtent l="0" t="0" r="0" b="0"/>
                <wp:docPr id="24213" name="Group 24213"/>
                <wp:cNvGraphicFramePr/>
                <a:graphic xmlns:a="http://schemas.openxmlformats.org/drawingml/2006/main">
                  <a:graphicData uri="http://schemas.microsoft.com/office/word/2010/wordprocessingGroup">
                    <wpg:wgp>
                      <wpg:cNvGrpSpPr/>
                      <wpg:grpSpPr>
                        <a:xfrm>
                          <a:off x="0" y="0"/>
                          <a:ext cx="2359533" cy="18288"/>
                          <a:chOff x="0" y="0"/>
                          <a:chExt cx="2359533" cy="18288"/>
                        </a:xfrm>
                      </wpg:grpSpPr>
                      <wps:wsp>
                        <wps:cNvPr id="3845" name="Shape 3845"/>
                        <wps:cNvSpPr/>
                        <wps:spPr>
                          <a:xfrm>
                            <a:off x="0" y="0"/>
                            <a:ext cx="2359533" cy="0"/>
                          </a:xfrm>
                          <a:custGeom>
                            <a:avLst/>
                            <a:gdLst/>
                            <a:ahLst/>
                            <a:cxnLst/>
                            <a:rect l="0" t="0" r="0" b="0"/>
                            <a:pathLst>
                              <a:path w="2359533">
                                <a:moveTo>
                                  <a:pt x="0" y="0"/>
                                </a:moveTo>
                                <a:lnTo>
                                  <a:pt x="2359533" y="0"/>
                                </a:lnTo>
                              </a:path>
                            </a:pathLst>
                          </a:custGeom>
                          <a:ln w="18288" cap="flat">
                            <a:custDash>
                              <a:ds d="144000" sp="144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13" style="width:185.79pt;height:1.44pt;mso-position-horizontal-relative:char;mso-position-vertical-relative:line" coordsize="23595,182">
                <v:shape id="Shape 3845" style="position:absolute;width:23595;height:0;left:0;top:0;" coordsize="2359533,0" path="m0,0l2359533,0">
                  <v:stroke weight="1.44pt" endcap="flat" dashstyle="1 1" joinstyle="round" on="true" color="#000000"/>
                  <v:fill on="false" color="#000000" opacity="0"/>
                </v:shape>
              </v:group>
            </w:pict>
          </mc:Fallback>
        </mc:AlternateContent>
      </w:r>
    </w:p>
    <w:p w14:paraId="60AA42ED" w14:textId="77777777" w:rsidR="004121B0" w:rsidRDefault="00016D35">
      <w:pPr>
        <w:spacing w:after="3"/>
        <w:ind w:left="41" w:hanging="10"/>
      </w:pPr>
      <w:r>
        <w:rPr>
          <w:noProof/>
        </w:rPr>
        <mc:AlternateContent>
          <mc:Choice Requires="wpg">
            <w:drawing>
              <wp:anchor distT="0" distB="0" distL="114300" distR="114300" simplePos="0" relativeHeight="251660288" behindDoc="0" locked="0" layoutInCell="1" allowOverlap="1" wp14:anchorId="67CAE086" wp14:editId="6D145F86">
                <wp:simplePos x="0" y="0"/>
                <wp:positionH relativeFrom="page">
                  <wp:posOffset>341376</wp:posOffset>
                </wp:positionH>
                <wp:positionV relativeFrom="page">
                  <wp:posOffset>982929</wp:posOffset>
                </wp:positionV>
                <wp:extent cx="9144" cy="172517"/>
                <wp:effectExtent l="0" t="0" r="0" b="0"/>
                <wp:wrapTopAndBottom/>
                <wp:docPr id="24214" name="Group 24214"/>
                <wp:cNvGraphicFramePr/>
                <a:graphic xmlns:a="http://schemas.openxmlformats.org/drawingml/2006/main">
                  <a:graphicData uri="http://schemas.microsoft.com/office/word/2010/wordprocessingGroup">
                    <wpg:wgp>
                      <wpg:cNvGrpSpPr/>
                      <wpg:grpSpPr>
                        <a:xfrm>
                          <a:off x="0" y="0"/>
                          <a:ext cx="9144" cy="172517"/>
                          <a:chOff x="0" y="0"/>
                          <a:chExt cx="9144" cy="172517"/>
                        </a:xfrm>
                      </wpg:grpSpPr>
                      <wps:wsp>
                        <wps:cNvPr id="26518" name="Shape 26518"/>
                        <wps:cNvSpPr/>
                        <wps:spPr>
                          <a:xfrm>
                            <a:off x="0" y="0"/>
                            <a:ext cx="9144" cy="172517"/>
                          </a:xfrm>
                          <a:custGeom>
                            <a:avLst/>
                            <a:gdLst/>
                            <a:ahLst/>
                            <a:cxnLst/>
                            <a:rect l="0" t="0" r="0" b="0"/>
                            <a:pathLst>
                              <a:path w="9144" h="172517">
                                <a:moveTo>
                                  <a:pt x="0" y="0"/>
                                </a:moveTo>
                                <a:lnTo>
                                  <a:pt x="9144" y="0"/>
                                </a:lnTo>
                                <a:lnTo>
                                  <a:pt x="9144" y="172517"/>
                                </a:lnTo>
                                <a:lnTo>
                                  <a:pt x="0" y="1725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14" style="width:0.719999pt;height:13.584pt;position:absolute;mso-position-horizontal-relative:page;mso-position-horizontal:absolute;margin-left:26.88pt;mso-position-vertical-relative:page;margin-top:77.396pt;" coordsize="91,1725">
                <v:shape id="Shape 26519" style="position:absolute;width:91;height:1725;left:0;top:0;" coordsize="9144,172517" path="m0,0l9144,0l9144,172517l0,172517l0,0">
                  <v:stroke weight="0pt" endcap="flat" joinstyle="miter" miterlimit="10" on="false" color="#000000" opacity="0"/>
                  <v:fill on="true" color="#000000"/>
                </v:shape>
                <w10:wrap type="topAndBottom"/>
              </v:group>
            </w:pict>
          </mc:Fallback>
        </mc:AlternateContent>
      </w:r>
      <w:r>
        <w:rPr>
          <w:rFonts w:ascii="Arial" w:eastAsia="Arial" w:hAnsi="Arial" w:cs="Arial"/>
          <w:b/>
          <w:sz w:val="19"/>
        </w:rPr>
        <w:t xml:space="preserve">Załączniki: </w:t>
      </w:r>
    </w:p>
    <w:p w14:paraId="7ED67A53" w14:textId="77777777" w:rsidR="004121B0" w:rsidRDefault="00016D35">
      <w:pPr>
        <w:numPr>
          <w:ilvl w:val="0"/>
          <w:numId w:val="1"/>
        </w:numPr>
        <w:spacing w:after="7"/>
        <w:ind w:hanging="228"/>
      </w:pPr>
      <w:r>
        <w:rPr>
          <w:rFonts w:ascii="Arial" w:eastAsia="Arial" w:hAnsi="Arial" w:cs="Arial"/>
          <w:sz w:val="19"/>
        </w:rPr>
        <w:t xml:space="preserve">Rzut kondygnacji z zaznaczeniem lokalu mieszkalnego. </w:t>
      </w:r>
    </w:p>
    <w:p w14:paraId="051FC881" w14:textId="77777777" w:rsidR="004121B0" w:rsidRDefault="00016D35">
      <w:pPr>
        <w:numPr>
          <w:ilvl w:val="0"/>
          <w:numId w:val="1"/>
        </w:numPr>
        <w:spacing w:after="7"/>
        <w:ind w:hanging="228"/>
      </w:pPr>
      <w:r>
        <w:rPr>
          <w:rFonts w:ascii="Arial" w:eastAsia="Arial" w:hAnsi="Arial" w:cs="Arial"/>
          <w:sz w:val="19"/>
        </w:rPr>
        <w:t xml:space="preserve">Wzór umowy deweloperskiej. </w:t>
      </w:r>
    </w:p>
    <w:p w14:paraId="2F5BA434" w14:textId="77777777" w:rsidR="004121B0" w:rsidRDefault="00016D35">
      <w:pPr>
        <w:spacing w:after="0"/>
        <w:ind w:left="2"/>
      </w:pPr>
      <w:r>
        <w:rPr>
          <w:rFonts w:ascii="Arial" w:eastAsia="Arial" w:hAnsi="Arial" w:cs="Arial"/>
          <w:sz w:val="20"/>
        </w:rPr>
        <w:t xml:space="preserve"> </w:t>
      </w:r>
    </w:p>
    <w:p w14:paraId="69B7203A" w14:textId="77777777" w:rsidR="004121B0" w:rsidRDefault="00016D35">
      <w:pPr>
        <w:spacing w:after="0"/>
        <w:ind w:left="2"/>
      </w:pPr>
      <w:r>
        <w:rPr>
          <w:rFonts w:ascii="Arial" w:eastAsia="Arial" w:hAnsi="Arial" w:cs="Arial"/>
          <w:sz w:val="20"/>
        </w:rPr>
        <w:t xml:space="preserve"> </w:t>
      </w:r>
    </w:p>
    <w:sectPr w:rsidR="004121B0">
      <w:footerReference w:type="even" r:id="rId7"/>
      <w:footerReference w:type="default" r:id="rId8"/>
      <w:footerReference w:type="first" r:id="rId9"/>
      <w:pgSz w:w="11906" w:h="16838"/>
      <w:pgMar w:top="972" w:right="707" w:bottom="1258" w:left="974" w:header="708" w:footer="7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6ED38" w14:textId="77777777" w:rsidR="00596E2D" w:rsidRDefault="00596E2D">
      <w:pPr>
        <w:spacing w:after="0" w:line="240" w:lineRule="auto"/>
      </w:pPr>
      <w:r>
        <w:separator/>
      </w:r>
    </w:p>
  </w:endnote>
  <w:endnote w:type="continuationSeparator" w:id="0">
    <w:p w14:paraId="4AE67BD4" w14:textId="77777777" w:rsidR="00596E2D" w:rsidRDefault="0059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7073" w14:textId="77777777" w:rsidR="004121B0" w:rsidRDefault="00016D35">
    <w:pPr>
      <w:spacing w:after="0"/>
      <w:ind w:right="-8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169CD1D" w14:textId="77777777" w:rsidR="004121B0" w:rsidRDefault="00016D35">
    <w:pPr>
      <w:spacing w:after="0"/>
      <w:ind w:left="103"/>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98DE" w14:textId="77777777" w:rsidR="004121B0" w:rsidRDefault="00016D35">
    <w:pPr>
      <w:spacing w:after="0"/>
      <w:ind w:right="-8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0F15152" w14:textId="77777777" w:rsidR="004121B0" w:rsidRDefault="00016D35">
    <w:pPr>
      <w:spacing w:after="0"/>
      <w:ind w:left="103"/>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338F" w14:textId="77777777" w:rsidR="004121B0" w:rsidRDefault="00016D35">
    <w:pPr>
      <w:spacing w:after="0"/>
      <w:ind w:right="-8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7EB0184" w14:textId="77777777" w:rsidR="004121B0" w:rsidRDefault="00016D35">
    <w:pPr>
      <w:spacing w:after="0"/>
      <w:ind w:left="103"/>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AFAB" w14:textId="77777777" w:rsidR="00596E2D" w:rsidRDefault="00596E2D">
      <w:pPr>
        <w:spacing w:after="0" w:line="240" w:lineRule="auto"/>
      </w:pPr>
      <w:r>
        <w:separator/>
      </w:r>
    </w:p>
  </w:footnote>
  <w:footnote w:type="continuationSeparator" w:id="0">
    <w:p w14:paraId="6DCE3363" w14:textId="77777777" w:rsidR="00596E2D" w:rsidRDefault="00596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D92"/>
    <w:multiLevelType w:val="hybridMultilevel"/>
    <w:tmpl w:val="74CACA26"/>
    <w:lvl w:ilvl="0" w:tplc="C6AC427A">
      <w:start w:val="1"/>
      <w:numFmt w:val="decimal"/>
      <w:lvlText w:val="%1."/>
      <w:lvlJc w:val="left"/>
      <w:pPr>
        <w:ind w:left="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DFE0B5E">
      <w:start w:val="1"/>
      <w:numFmt w:val="lowerLetter"/>
      <w:lvlText w:val="%2"/>
      <w:lvlJc w:val="left"/>
      <w:pPr>
        <w:ind w:left="108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DE672EA">
      <w:start w:val="1"/>
      <w:numFmt w:val="lowerRoman"/>
      <w:lvlText w:val="%3"/>
      <w:lvlJc w:val="left"/>
      <w:pPr>
        <w:ind w:left="18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A368F54">
      <w:start w:val="1"/>
      <w:numFmt w:val="decimal"/>
      <w:lvlText w:val="%4"/>
      <w:lvlJc w:val="left"/>
      <w:pPr>
        <w:ind w:left="252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FF87DA8">
      <w:start w:val="1"/>
      <w:numFmt w:val="lowerLetter"/>
      <w:lvlText w:val="%5"/>
      <w:lvlJc w:val="left"/>
      <w:pPr>
        <w:ind w:left="324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2844B3E">
      <w:start w:val="1"/>
      <w:numFmt w:val="lowerRoman"/>
      <w:lvlText w:val="%6"/>
      <w:lvlJc w:val="left"/>
      <w:pPr>
        <w:ind w:left="39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1B0814C">
      <w:start w:val="1"/>
      <w:numFmt w:val="decimal"/>
      <w:lvlText w:val="%7"/>
      <w:lvlJc w:val="left"/>
      <w:pPr>
        <w:ind w:left="468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85E424C">
      <w:start w:val="1"/>
      <w:numFmt w:val="lowerLetter"/>
      <w:lvlText w:val="%8"/>
      <w:lvlJc w:val="left"/>
      <w:pPr>
        <w:ind w:left="54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3E8D1A6">
      <w:start w:val="1"/>
      <w:numFmt w:val="lowerRoman"/>
      <w:lvlText w:val="%9"/>
      <w:lvlJc w:val="left"/>
      <w:pPr>
        <w:ind w:left="612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B0D582D"/>
    <w:multiLevelType w:val="hybridMultilevel"/>
    <w:tmpl w:val="054696D4"/>
    <w:lvl w:ilvl="0" w:tplc="EE8065EE">
      <w:start w:val="3"/>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A3C0432">
      <w:start w:val="1"/>
      <w:numFmt w:val="lowerLetter"/>
      <w:lvlText w:val="%2"/>
      <w:lvlJc w:val="left"/>
      <w:pPr>
        <w:ind w:left="1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2B0956E">
      <w:start w:val="1"/>
      <w:numFmt w:val="lowerRoman"/>
      <w:lvlText w:val="%3"/>
      <w:lvlJc w:val="left"/>
      <w:pPr>
        <w:ind w:left="18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69C7680">
      <w:start w:val="1"/>
      <w:numFmt w:val="decimal"/>
      <w:lvlText w:val="%4"/>
      <w:lvlJc w:val="left"/>
      <w:pPr>
        <w:ind w:left="26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6CD254">
      <w:start w:val="1"/>
      <w:numFmt w:val="lowerLetter"/>
      <w:lvlText w:val="%5"/>
      <w:lvlJc w:val="left"/>
      <w:pPr>
        <w:ind w:left="33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D84DF44">
      <w:start w:val="1"/>
      <w:numFmt w:val="lowerRoman"/>
      <w:lvlText w:val="%6"/>
      <w:lvlJc w:val="left"/>
      <w:pPr>
        <w:ind w:left="40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B4F668">
      <w:start w:val="1"/>
      <w:numFmt w:val="decimal"/>
      <w:lvlText w:val="%7"/>
      <w:lvlJc w:val="left"/>
      <w:pPr>
        <w:ind w:left="47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8E8B1DC">
      <w:start w:val="1"/>
      <w:numFmt w:val="lowerLetter"/>
      <w:lvlText w:val="%8"/>
      <w:lvlJc w:val="left"/>
      <w:pPr>
        <w:ind w:left="54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B185874">
      <w:start w:val="1"/>
      <w:numFmt w:val="lowerRoman"/>
      <w:lvlText w:val="%9"/>
      <w:lvlJc w:val="left"/>
      <w:pPr>
        <w:ind w:left="62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4560E0A"/>
    <w:multiLevelType w:val="hybridMultilevel"/>
    <w:tmpl w:val="88A0CCA2"/>
    <w:lvl w:ilvl="0" w:tplc="D6E487DE">
      <w:start w:val="1"/>
      <w:numFmt w:val="decimal"/>
      <w:lvlText w:val="%1)"/>
      <w:lvlJc w:val="left"/>
      <w:pPr>
        <w:ind w:left="35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3FC4528">
      <w:start w:val="1"/>
      <w:numFmt w:val="lowerLetter"/>
      <w:lvlText w:val="%2"/>
      <w:lvlJc w:val="left"/>
      <w:pPr>
        <w:ind w:left="1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C58D11C">
      <w:start w:val="1"/>
      <w:numFmt w:val="lowerRoman"/>
      <w:lvlText w:val="%3"/>
      <w:lvlJc w:val="left"/>
      <w:pPr>
        <w:ind w:left="18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8184196">
      <w:start w:val="1"/>
      <w:numFmt w:val="decimal"/>
      <w:lvlText w:val="%4"/>
      <w:lvlJc w:val="left"/>
      <w:pPr>
        <w:ind w:left="25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EF2991A">
      <w:start w:val="1"/>
      <w:numFmt w:val="lowerLetter"/>
      <w:lvlText w:val="%5"/>
      <w:lvlJc w:val="left"/>
      <w:pPr>
        <w:ind w:left="3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38627F2">
      <w:start w:val="1"/>
      <w:numFmt w:val="lowerRoman"/>
      <w:lvlText w:val="%6"/>
      <w:lvlJc w:val="left"/>
      <w:pPr>
        <w:ind w:left="4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B3FC5208">
      <w:start w:val="1"/>
      <w:numFmt w:val="decimal"/>
      <w:lvlText w:val="%7"/>
      <w:lvlJc w:val="left"/>
      <w:pPr>
        <w:ind w:left="4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94D2B328">
      <w:start w:val="1"/>
      <w:numFmt w:val="lowerLetter"/>
      <w:lvlText w:val="%8"/>
      <w:lvlJc w:val="left"/>
      <w:pPr>
        <w:ind w:left="5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8416DE2C">
      <w:start w:val="1"/>
      <w:numFmt w:val="lowerRoman"/>
      <w:lvlText w:val="%9"/>
      <w:lvlJc w:val="left"/>
      <w:pPr>
        <w:ind w:left="6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4C347F6"/>
    <w:multiLevelType w:val="hybridMultilevel"/>
    <w:tmpl w:val="BA061534"/>
    <w:lvl w:ilvl="0" w:tplc="BB0417BE">
      <w:start w:val="2"/>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32AFE1C">
      <w:start w:val="1"/>
      <w:numFmt w:val="lowerLetter"/>
      <w:lvlText w:val="%2"/>
      <w:lvlJc w:val="left"/>
      <w:pPr>
        <w:ind w:left="1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304C7EE">
      <w:start w:val="1"/>
      <w:numFmt w:val="lowerRoman"/>
      <w:lvlText w:val="%3"/>
      <w:lvlJc w:val="left"/>
      <w:pPr>
        <w:ind w:left="18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E01708">
      <w:start w:val="1"/>
      <w:numFmt w:val="decimal"/>
      <w:lvlText w:val="%4"/>
      <w:lvlJc w:val="left"/>
      <w:pPr>
        <w:ind w:left="2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4D8D42E">
      <w:start w:val="1"/>
      <w:numFmt w:val="lowerLetter"/>
      <w:lvlText w:val="%5"/>
      <w:lvlJc w:val="left"/>
      <w:pPr>
        <w:ind w:left="32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E66864">
      <w:start w:val="1"/>
      <w:numFmt w:val="lowerRoman"/>
      <w:lvlText w:val="%6"/>
      <w:lvlJc w:val="left"/>
      <w:pPr>
        <w:ind w:left="40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38875C">
      <w:start w:val="1"/>
      <w:numFmt w:val="decimal"/>
      <w:lvlText w:val="%7"/>
      <w:lvlJc w:val="left"/>
      <w:pPr>
        <w:ind w:left="4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F98C106">
      <w:start w:val="1"/>
      <w:numFmt w:val="lowerLetter"/>
      <w:lvlText w:val="%8"/>
      <w:lvlJc w:val="left"/>
      <w:pPr>
        <w:ind w:left="5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63685C6">
      <w:start w:val="1"/>
      <w:numFmt w:val="lowerRoman"/>
      <w:lvlText w:val="%9"/>
      <w:lvlJc w:val="left"/>
      <w:pPr>
        <w:ind w:left="6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9133F41"/>
    <w:multiLevelType w:val="hybridMultilevel"/>
    <w:tmpl w:val="DE282E70"/>
    <w:lvl w:ilvl="0" w:tplc="CBF89928">
      <w:start w:val="1"/>
      <w:numFmt w:val="decimal"/>
      <w:lvlText w:val="%1)"/>
      <w:lvlJc w:val="left"/>
      <w:pPr>
        <w:ind w:left="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3B271B2">
      <w:start w:val="1"/>
      <w:numFmt w:val="lowerLetter"/>
      <w:lvlText w:val="%2"/>
      <w:lvlJc w:val="left"/>
      <w:pPr>
        <w:ind w:left="11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51A9832">
      <w:start w:val="1"/>
      <w:numFmt w:val="lowerRoman"/>
      <w:lvlText w:val="%3"/>
      <w:lvlJc w:val="left"/>
      <w:pPr>
        <w:ind w:left="18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0F43686">
      <w:start w:val="1"/>
      <w:numFmt w:val="decimal"/>
      <w:lvlText w:val="%4"/>
      <w:lvlJc w:val="left"/>
      <w:pPr>
        <w:ind w:left="25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87EF46A">
      <w:start w:val="1"/>
      <w:numFmt w:val="lowerLetter"/>
      <w:lvlText w:val="%5"/>
      <w:lvlJc w:val="left"/>
      <w:pPr>
        <w:ind w:left="33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6F8A6B8">
      <w:start w:val="1"/>
      <w:numFmt w:val="lowerRoman"/>
      <w:lvlText w:val="%6"/>
      <w:lvlJc w:val="left"/>
      <w:pPr>
        <w:ind w:left="4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CEE0DD6">
      <w:start w:val="1"/>
      <w:numFmt w:val="decimal"/>
      <w:lvlText w:val="%7"/>
      <w:lvlJc w:val="left"/>
      <w:pPr>
        <w:ind w:left="47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1B233BC">
      <w:start w:val="1"/>
      <w:numFmt w:val="lowerLetter"/>
      <w:lvlText w:val="%8"/>
      <w:lvlJc w:val="left"/>
      <w:pPr>
        <w:ind w:left="54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F88B692">
      <w:start w:val="1"/>
      <w:numFmt w:val="lowerRoman"/>
      <w:lvlText w:val="%9"/>
      <w:lvlJc w:val="left"/>
      <w:pPr>
        <w:ind w:left="61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4955287"/>
    <w:multiLevelType w:val="hybridMultilevel"/>
    <w:tmpl w:val="79FC16CE"/>
    <w:lvl w:ilvl="0" w:tplc="333E55E2">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414EDCC">
      <w:start w:val="1"/>
      <w:numFmt w:val="bullet"/>
      <w:lvlText w:val="o"/>
      <w:lvlJc w:val="left"/>
      <w:pPr>
        <w:ind w:left="1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64FB5E">
      <w:start w:val="1"/>
      <w:numFmt w:val="bullet"/>
      <w:lvlText w:val="▪"/>
      <w:lvlJc w:val="left"/>
      <w:pPr>
        <w:ind w:left="18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E43F96">
      <w:start w:val="1"/>
      <w:numFmt w:val="bullet"/>
      <w:lvlText w:val="•"/>
      <w:lvlJc w:val="left"/>
      <w:pPr>
        <w:ind w:left="2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70807C">
      <w:start w:val="1"/>
      <w:numFmt w:val="bullet"/>
      <w:lvlText w:val="o"/>
      <w:lvlJc w:val="left"/>
      <w:pPr>
        <w:ind w:left="32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66075C">
      <w:start w:val="1"/>
      <w:numFmt w:val="bullet"/>
      <w:lvlText w:val="▪"/>
      <w:lvlJc w:val="left"/>
      <w:pPr>
        <w:ind w:left="40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BB8F272">
      <w:start w:val="1"/>
      <w:numFmt w:val="bullet"/>
      <w:lvlText w:val="•"/>
      <w:lvlJc w:val="left"/>
      <w:pPr>
        <w:ind w:left="4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500CE90">
      <w:start w:val="1"/>
      <w:numFmt w:val="bullet"/>
      <w:lvlText w:val="o"/>
      <w:lvlJc w:val="left"/>
      <w:pPr>
        <w:ind w:left="5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127C20">
      <w:start w:val="1"/>
      <w:numFmt w:val="bullet"/>
      <w:lvlText w:val="▪"/>
      <w:lvlJc w:val="left"/>
      <w:pPr>
        <w:ind w:left="6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E6354E6"/>
    <w:multiLevelType w:val="hybridMultilevel"/>
    <w:tmpl w:val="627E0412"/>
    <w:lvl w:ilvl="0" w:tplc="8122890E">
      <w:start w:val="5"/>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B1C91E0">
      <w:start w:val="1"/>
      <w:numFmt w:val="lowerLetter"/>
      <w:lvlText w:val="%2"/>
      <w:lvlJc w:val="left"/>
      <w:pPr>
        <w:ind w:left="1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3ED07A">
      <w:start w:val="1"/>
      <w:numFmt w:val="lowerRoman"/>
      <w:lvlText w:val="%3"/>
      <w:lvlJc w:val="left"/>
      <w:pPr>
        <w:ind w:left="1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02A3B9E">
      <w:start w:val="1"/>
      <w:numFmt w:val="decimal"/>
      <w:lvlText w:val="%4"/>
      <w:lvlJc w:val="left"/>
      <w:pPr>
        <w:ind w:left="2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2A6694">
      <w:start w:val="1"/>
      <w:numFmt w:val="lowerLetter"/>
      <w:lvlText w:val="%5"/>
      <w:lvlJc w:val="left"/>
      <w:pPr>
        <w:ind w:left="3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58546E">
      <w:start w:val="1"/>
      <w:numFmt w:val="lowerRoman"/>
      <w:lvlText w:val="%6"/>
      <w:lvlJc w:val="left"/>
      <w:pPr>
        <w:ind w:left="4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9A5F50">
      <w:start w:val="1"/>
      <w:numFmt w:val="decimal"/>
      <w:lvlText w:val="%7"/>
      <w:lvlJc w:val="left"/>
      <w:pPr>
        <w:ind w:left="4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1CC368">
      <w:start w:val="1"/>
      <w:numFmt w:val="lowerLetter"/>
      <w:lvlText w:val="%8"/>
      <w:lvlJc w:val="left"/>
      <w:pPr>
        <w:ind w:left="5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D88100">
      <w:start w:val="1"/>
      <w:numFmt w:val="lowerRoman"/>
      <w:lvlText w:val="%9"/>
      <w:lvlJc w:val="left"/>
      <w:pPr>
        <w:ind w:left="6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0675D1C"/>
    <w:multiLevelType w:val="hybridMultilevel"/>
    <w:tmpl w:val="82CE8246"/>
    <w:lvl w:ilvl="0" w:tplc="51B4C07C">
      <w:start w:val="1"/>
      <w:numFmt w:val="upperRoman"/>
      <w:pStyle w:val="Nagwek1"/>
      <w:lvlText w:val="%1."/>
      <w:lvlJc w:val="left"/>
      <w:pPr>
        <w:ind w:left="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CBAE4B7E">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A66DB68">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DCECCE8E">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D248A170">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856823A">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8DE9986">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0F580382">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CC10F512">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4D97039"/>
    <w:multiLevelType w:val="hybridMultilevel"/>
    <w:tmpl w:val="1D303FCC"/>
    <w:lvl w:ilvl="0" w:tplc="EC483CE0">
      <w:start w:val="1"/>
      <w:numFmt w:val="decimal"/>
      <w:lvlText w:val="%1)"/>
      <w:lvlJc w:val="left"/>
      <w:pPr>
        <w:ind w:left="2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A8EAC78A">
      <w:start w:val="1"/>
      <w:numFmt w:val="lowerLetter"/>
      <w:lvlText w:val="%2"/>
      <w:lvlJc w:val="left"/>
      <w:pPr>
        <w:ind w:left="10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B7361274">
      <w:start w:val="1"/>
      <w:numFmt w:val="lowerRoman"/>
      <w:lvlText w:val="%3"/>
      <w:lvlJc w:val="left"/>
      <w:pPr>
        <w:ind w:left="18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C36F27C">
      <w:start w:val="1"/>
      <w:numFmt w:val="decimal"/>
      <w:lvlText w:val="%4"/>
      <w:lvlJc w:val="left"/>
      <w:pPr>
        <w:ind w:left="253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E127C8A">
      <w:start w:val="1"/>
      <w:numFmt w:val="lowerLetter"/>
      <w:lvlText w:val="%5"/>
      <w:lvlJc w:val="left"/>
      <w:pPr>
        <w:ind w:left="325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23ACCB1C">
      <w:start w:val="1"/>
      <w:numFmt w:val="lowerRoman"/>
      <w:lvlText w:val="%6"/>
      <w:lvlJc w:val="left"/>
      <w:pPr>
        <w:ind w:left="39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12CD20C">
      <w:start w:val="1"/>
      <w:numFmt w:val="decimal"/>
      <w:lvlText w:val="%7"/>
      <w:lvlJc w:val="left"/>
      <w:pPr>
        <w:ind w:left="46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D5C8E3BE">
      <w:start w:val="1"/>
      <w:numFmt w:val="lowerLetter"/>
      <w:lvlText w:val="%8"/>
      <w:lvlJc w:val="left"/>
      <w:pPr>
        <w:ind w:left="54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A5005B94">
      <w:start w:val="1"/>
      <w:numFmt w:val="lowerRoman"/>
      <w:lvlText w:val="%9"/>
      <w:lvlJc w:val="left"/>
      <w:pPr>
        <w:ind w:left="613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16cid:durableId="897666224">
    <w:abstractNumId w:val="0"/>
  </w:num>
  <w:num w:numId="2" w16cid:durableId="710764393">
    <w:abstractNumId w:val="2"/>
  </w:num>
  <w:num w:numId="3" w16cid:durableId="117916676">
    <w:abstractNumId w:val="1"/>
  </w:num>
  <w:num w:numId="4" w16cid:durableId="970136733">
    <w:abstractNumId w:val="3"/>
  </w:num>
  <w:num w:numId="5" w16cid:durableId="1721132653">
    <w:abstractNumId w:val="6"/>
  </w:num>
  <w:num w:numId="6" w16cid:durableId="1990133495">
    <w:abstractNumId w:val="5"/>
  </w:num>
  <w:num w:numId="7" w16cid:durableId="1144086539">
    <w:abstractNumId w:val="8"/>
  </w:num>
  <w:num w:numId="8" w16cid:durableId="7561022">
    <w:abstractNumId w:val="4"/>
  </w:num>
  <w:num w:numId="9" w16cid:durableId="309410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B0"/>
    <w:rsid w:val="00016D35"/>
    <w:rsid w:val="00205CE0"/>
    <w:rsid w:val="00253A40"/>
    <w:rsid w:val="002E7CDB"/>
    <w:rsid w:val="00397D29"/>
    <w:rsid w:val="004121B0"/>
    <w:rsid w:val="0053633A"/>
    <w:rsid w:val="00596E2D"/>
    <w:rsid w:val="005B00D2"/>
    <w:rsid w:val="007A15AF"/>
    <w:rsid w:val="00830892"/>
    <w:rsid w:val="009E50D4"/>
    <w:rsid w:val="00AE7737"/>
    <w:rsid w:val="00B43FBE"/>
    <w:rsid w:val="00DD1166"/>
    <w:rsid w:val="00F22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B429"/>
  <w15:docId w15:val="{86A8A2C0-6BBA-46BB-9D32-ABAAF39A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59" w:lineRule="auto"/>
    </w:pPr>
    <w:rPr>
      <w:rFonts w:ascii="Calibri" w:eastAsia="Calibri" w:hAnsi="Calibri" w:cs="Calibri"/>
      <w:color w:val="000000"/>
      <w:sz w:val="22"/>
    </w:rPr>
  </w:style>
  <w:style w:type="paragraph" w:styleId="Nagwek1">
    <w:name w:val="heading 1"/>
    <w:next w:val="Normalny"/>
    <w:link w:val="Nagwek1Znak"/>
    <w:uiPriority w:val="9"/>
    <w:qFormat/>
    <w:pPr>
      <w:keepNext/>
      <w:keepLines/>
      <w:numPr>
        <w:numId w:val="9"/>
      </w:numPr>
      <w:spacing w:after="3" w:line="259" w:lineRule="auto"/>
      <w:ind w:left="56" w:hanging="10"/>
      <w:outlineLvl w:val="0"/>
    </w:pPr>
    <w:rPr>
      <w:rFonts w:ascii="Arial" w:eastAsia="Arial" w:hAnsi="Arial" w:cs="Arial"/>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3031</Words>
  <Characters>18192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Prospekt informacyjny dewelopera (dotyczy ustawy o ochronie praw nabywcy lokalu mieszkalnego lub domu jednorodzinnego)</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Prospekt informacyjny dewelopera (dotyczy ustawy o ochronie praw nabywcy lokalu mieszkalnego lub domu jednorodzinnego)</dc:title>
  <dc:subject/>
  <dc:creator>Robert Borkowski</dc:creator>
  <cp:keywords/>
  <cp:lastModifiedBy>Ewelina Kazibut</cp:lastModifiedBy>
  <cp:revision>2</cp:revision>
  <cp:lastPrinted>2024-10-03T18:49:00Z</cp:lastPrinted>
  <dcterms:created xsi:type="dcterms:W3CDTF">2025-09-02T14:47:00Z</dcterms:created>
  <dcterms:modified xsi:type="dcterms:W3CDTF">2025-09-02T14:47:00Z</dcterms:modified>
</cp:coreProperties>
</file>